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EFA5D7" w14:textId="77777777" w:rsidR="00F44328" w:rsidRPr="0040766B" w:rsidRDefault="00F44328" w:rsidP="00F44328">
      <w:pPr>
        <w:spacing w:after="0"/>
        <w:jc w:val="both"/>
        <w:rPr>
          <w:rFonts w:ascii="Arial" w:eastAsia="Times New Roman" w:hAnsi="Arial" w:cs="Arial"/>
          <w:sz w:val="24"/>
          <w:szCs w:val="24"/>
        </w:rPr>
      </w:pPr>
      <w:bookmarkStart w:id="0" w:name="OLE_LINK1"/>
      <w:r w:rsidRPr="0040766B">
        <w:rPr>
          <w:rFonts w:ascii="Arial" w:eastAsia="Times New Roman" w:hAnsi="Arial" w:cs="Arial"/>
          <w:b/>
          <w:bCs/>
          <w:sz w:val="24"/>
          <w:szCs w:val="24"/>
        </w:rPr>
        <w:t>O EDIFICIO DA TEORIA JURIDICA DA SOBERANIA E AS MALHAS DO PODER NA FILOSOFIA DO DIREITO DE MICHAEL FOUCAULT</w:t>
      </w:r>
    </w:p>
    <w:bookmarkEnd w:id="0"/>
    <w:p w14:paraId="1430BF72" w14:textId="77777777" w:rsidR="00026B5B" w:rsidRPr="00A74222" w:rsidRDefault="00026B5B" w:rsidP="002C413A">
      <w:pPr>
        <w:spacing w:after="0"/>
        <w:jc w:val="both"/>
        <w:rPr>
          <w:rFonts w:ascii="Arial" w:eastAsia="Times New Roman" w:hAnsi="Arial" w:cs="Arial"/>
          <w:b/>
          <w:bCs/>
          <w:sz w:val="28"/>
          <w:szCs w:val="28"/>
          <w:lang w:eastAsia="pt-BR"/>
        </w:rPr>
      </w:pPr>
    </w:p>
    <w:p w14:paraId="2A10CC6D" w14:textId="73EBA621" w:rsidR="002C413A" w:rsidRPr="00026B5B" w:rsidRDefault="00F44328" w:rsidP="00F44328">
      <w:pPr>
        <w:spacing w:after="0"/>
        <w:jc w:val="both"/>
        <w:rPr>
          <w:rFonts w:ascii="Arial" w:hAnsi="Arial" w:cs="Arial"/>
          <w:b/>
          <w:sz w:val="24"/>
          <w:szCs w:val="24"/>
        </w:rPr>
      </w:pPr>
      <w:r w:rsidRPr="00F44328">
        <w:rPr>
          <w:rFonts w:ascii="Arial" w:eastAsia="Times New Roman" w:hAnsi="Arial" w:cs="Arial"/>
          <w:i/>
          <w:iCs/>
          <w:sz w:val="28"/>
          <w:szCs w:val="28"/>
          <w:lang w:eastAsia="pt-BR"/>
        </w:rPr>
        <w:t xml:space="preserve">The </w:t>
      </w:r>
      <w:proofErr w:type="spellStart"/>
      <w:r w:rsidRPr="00F44328">
        <w:rPr>
          <w:rFonts w:ascii="Arial" w:eastAsia="Times New Roman" w:hAnsi="Arial" w:cs="Arial"/>
          <w:i/>
          <w:iCs/>
          <w:sz w:val="28"/>
          <w:szCs w:val="28"/>
          <w:lang w:eastAsia="pt-BR"/>
        </w:rPr>
        <w:t>Edifice</w:t>
      </w:r>
      <w:proofErr w:type="spellEnd"/>
      <w:r w:rsidRPr="00F44328">
        <w:rPr>
          <w:rFonts w:ascii="Arial" w:eastAsia="Times New Roman" w:hAnsi="Arial" w:cs="Arial"/>
          <w:i/>
          <w:iCs/>
          <w:sz w:val="28"/>
          <w:szCs w:val="28"/>
          <w:lang w:eastAsia="pt-BR"/>
        </w:rPr>
        <w:t xml:space="preserve"> </w:t>
      </w:r>
      <w:proofErr w:type="spellStart"/>
      <w:r w:rsidRPr="00F44328">
        <w:rPr>
          <w:rFonts w:ascii="Arial" w:eastAsia="Times New Roman" w:hAnsi="Arial" w:cs="Arial"/>
          <w:i/>
          <w:iCs/>
          <w:sz w:val="28"/>
          <w:szCs w:val="28"/>
          <w:lang w:eastAsia="pt-BR"/>
        </w:rPr>
        <w:t>of</w:t>
      </w:r>
      <w:proofErr w:type="spellEnd"/>
      <w:r w:rsidRPr="00F44328">
        <w:rPr>
          <w:rFonts w:ascii="Arial" w:eastAsia="Times New Roman" w:hAnsi="Arial" w:cs="Arial"/>
          <w:i/>
          <w:iCs/>
          <w:sz w:val="28"/>
          <w:szCs w:val="28"/>
          <w:lang w:eastAsia="pt-BR"/>
        </w:rPr>
        <w:t xml:space="preserve"> </w:t>
      </w:r>
      <w:proofErr w:type="spellStart"/>
      <w:r w:rsidRPr="00F44328">
        <w:rPr>
          <w:rFonts w:ascii="Arial" w:eastAsia="Times New Roman" w:hAnsi="Arial" w:cs="Arial"/>
          <w:i/>
          <w:iCs/>
          <w:sz w:val="28"/>
          <w:szCs w:val="28"/>
          <w:lang w:eastAsia="pt-BR"/>
        </w:rPr>
        <w:t>the</w:t>
      </w:r>
      <w:proofErr w:type="spellEnd"/>
      <w:r w:rsidRPr="00F44328">
        <w:rPr>
          <w:rFonts w:ascii="Arial" w:eastAsia="Times New Roman" w:hAnsi="Arial" w:cs="Arial"/>
          <w:i/>
          <w:iCs/>
          <w:sz w:val="28"/>
          <w:szCs w:val="28"/>
          <w:lang w:eastAsia="pt-BR"/>
        </w:rPr>
        <w:t xml:space="preserve"> Legal </w:t>
      </w:r>
      <w:proofErr w:type="spellStart"/>
      <w:r w:rsidRPr="00F44328">
        <w:rPr>
          <w:rFonts w:ascii="Arial" w:eastAsia="Times New Roman" w:hAnsi="Arial" w:cs="Arial"/>
          <w:i/>
          <w:iCs/>
          <w:sz w:val="28"/>
          <w:szCs w:val="28"/>
          <w:lang w:eastAsia="pt-BR"/>
        </w:rPr>
        <w:t>Theory</w:t>
      </w:r>
      <w:proofErr w:type="spellEnd"/>
      <w:r w:rsidRPr="00F44328">
        <w:rPr>
          <w:rFonts w:ascii="Arial" w:eastAsia="Times New Roman" w:hAnsi="Arial" w:cs="Arial"/>
          <w:i/>
          <w:iCs/>
          <w:sz w:val="28"/>
          <w:szCs w:val="28"/>
          <w:lang w:eastAsia="pt-BR"/>
        </w:rPr>
        <w:t xml:space="preserve"> </w:t>
      </w:r>
      <w:proofErr w:type="spellStart"/>
      <w:r w:rsidRPr="00F44328">
        <w:rPr>
          <w:rFonts w:ascii="Arial" w:eastAsia="Times New Roman" w:hAnsi="Arial" w:cs="Arial"/>
          <w:i/>
          <w:iCs/>
          <w:sz w:val="28"/>
          <w:szCs w:val="28"/>
          <w:lang w:eastAsia="pt-BR"/>
        </w:rPr>
        <w:t>of</w:t>
      </w:r>
      <w:proofErr w:type="spellEnd"/>
      <w:r w:rsidRPr="00F44328">
        <w:rPr>
          <w:rFonts w:ascii="Arial" w:eastAsia="Times New Roman" w:hAnsi="Arial" w:cs="Arial"/>
          <w:i/>
          <w:iCs/>
          <w:sz w:val="28"/>
          <w:szCs w:val="28"/>
          <w:lang w:eastAsia="pt-BR"/>
        </w:rPr>
        <w:t xml:space="preserve"> Sovereignty </w:t>
      </w:r>
      <w:proofErr w:type="spellStart"/>
      <w:r w:rsidRPr="00F44328">
        <w:rPr>
          <w:rFonts w:ascii="Arial" w:eastAsia="Times New Roman" w:hAnsi="Arial" w:cs="Arial"/>
          <w:i/>
          <w:iCs/>
          <w:sz w:val="28"/>
          <w:szCs w:val="28"/>
          <w:lang w:eastAsia="pt-BR"/>
        </w:rPr>
        <w:t>and</w:t>
      </w:r>
      <w:proofErr w:type="spellEnd"/>
      <w:r w:rsidRPr="00F44328">
        <w:rPr>
          <w:rFonts w:ascii="Arial" w:eastAsia="Times New Roman" w:hAnsi="Arial" w:cs="Arial"/>
          <w:i/>
          <w:iCs/>
          <w:sz w:val="28"/>
          <w:szCs w:val="28"/>
          <w:lang w:eastAsia="pt-BR"/>
        </w:rPr>
        <w:t xml:space="preserve"> </w:t>
      </w:r>
      <w:proofErr w:type="spellStart"/>
      <w:r w:rsidRPr="00F44328">
        <w:rPr>
          <w:rFonts w:ascii="Arial" w:eastAsia="Times New Roman" w:hAnsi="Arial" w:cs="Arial"/>
          <w:i/>
          <w:iCs/>
          <w:sz w:val="28"/>
          <w:szCs w:val="28"/>
          <w:lang w:eastAsia="pt-BR"/>
        </w:rPr>
        <w:t>the</w:t>
      </w:r>
      <w:proofErr w:type="spellEnd"/>
      <w:r w:rsidRPr="00F44328">
        <w:rPr>
          <w:rFonts w:ascii="Arial" w:eastAsia="Times New Roman" w:hAnsi="Arial" w:cs="Arial"/>
          <w:i/>
          <w:iCs/>
          <w:sz w:val="28"/>
          <w:szCs w:val="28"/>
          <w:lang w:eastAsia="pt-BR"/>
        </w:rPr>
        <w:t xml:space="preserve"> Webs </w:t>
      </w:r>
      <w:proofErr w:type="spellStart"/>
      <w:r w:rsidRPr="00F44328">
        <w:rPr>
          <w:rFonts w:ascii="Arial" w:eastAsia="Times New Roman" w:hAnsi="Arial" w:cs="Arial"/>
          <w:i/>
          <w:iCs/>
          <w:sz w:val="28"/>
          <w:szCs w:val="28"/>
          <w:lang w:eastAsia="pt-BR"/>
        </w:rPr>
        <w:t>of</w:t>
      </w:r>
      <w:proofErr w:type="spellEnd"/>
      <w:r w:rsidRPr="00F44328">
        <w:rPr>
          <w:rFonts w:ascii="Arial" w:eastAsia="Times New Roman" w:hAnsi="Arial" w:cs="Arial"/>
          <w:i/>
          <w:iCs/>
          <w:sz w:val="28"/>
          <w:szCs w:val="28"/>
          <w:lang w:eastAsia="pt-BR"/>
        </w:rPr>
        <w:t xml:space="preserve"> Power in Michael </w:t>
      </w:r>
      <w:proofErr w:type="spellStart"/>
      <w:r w:rsidRPr="00F44328">
        <w:rPr>
          <w:rFonts w:ascii="Arial" w:eastAsia="Times New Roman" w:hAnsi="Arial" w:cs="Arial"/>
          <w:i/>
          <w:iCs/>
          <w:sz w:val="28"/>
          <w:szCs w:val="28"/>
          <w:lang w:eastAsia="pt-BR"/>
        </w:rPr>
        <w:t>Foucault’s</w:t>
      </w:r>
      <w:proofErr w:type="spellEnd"/>
      <w:r w:rsidRPr="00F44328">
        <w:rPr>
          <w:rFonts w:ascii="Arial" w:eastAsia="Times New Roman" w:hAnsi="Arial" w:cs="Arial"/>
          <w:i/>
          <w:iCs/>
          <w:sz w:val="28"/>
          <w:szCs w:val="28"/>
          <w:lang w:eastAsia="pt-BR"/>
        </w:rPr>
        <w:t xml:space="preserve"> </w:t>
      </w:r>
      <w:proofErr w:type="spellStart"/>
      <w:r w:rsidRPr="00F44328">
        <w:rPr>
          <w:rFonts w:ascii="Arial" w:eastAsia="Times New Roman" w:hAnsi="Arial" w:cs="Arial"/>
          <w:i/>
          <w:iCs/>
          <w:sz w:val="28"/>
          <w:szCs w:val="28"/>
          <w:lang w:eastAsia="pt-BR"/>
        </w:rPr>
        <w:t>Philosophy</w:t>
      </w:r>
      <w:proofErr w:type="spellEnd"/>
      <w:r w:rsidRPr="00F44328">
        <w:rPr>
          <w:rFonts w:ascii="Arial" w:eastAsia="Times New Roman" w:hAnsi="Arial" w:cs="Arial"/>
          <w:i/>
          <w:iCs/>
          <w:sz w:val="28"/>
          <w:szCs w:val="28"/>
          <w:lang w:eastAsia="pt-BR"/>
        </w:rPr>
        <w:t xml:space="preserve"> </w:t>
      </w:r>
      <w:proofErr w:type="spellStart"/>
      <w:r w:rsidRPr="00F44328">
        <w:rPr>
          <w:rFonts w:ascii="Arial" w:eastAsia="Times New Roman" w:hAnsi="Arial" w:cs="Arial"/>
          <w:i/>
          <w:iCs/>
          <w:sz w:val="28"/>
          <w:szCs w:val="28"/>
          <w:lang w:eastAsia="pt-BR"/>
        </w:rPr>
        <w:t>of</w:t>
      </w:r>
      <w:proofErr w:type="spellEnd"/>
      <w:r w:rsidRPr="00F44328">
        <w:rPr>
          <w:rFonts w:ascii="Arial" w:eastAsia="Times New Roman" w:hAnsi="Arial" w:cs="Arial"/>
          <w:i/>
          <w:iCs/>
          <w:sz w:val="28"/>
          <w:szCs w:val="28"/>
          <w:lang w:eastAsia="pt-BR"/>
        </w:rPr>
        <w:t xml:space="preserve"> Law</w:t>
      </w:r>
    </w:p>
    <w:p w14:paraId="3D1E9533" w14:textId="77777777" w:rsidR="00D40A53" w:rsidRDefault="00D40A53" w:rsidP="002C413A">
      <w:pPr>
        <w:pStyle w:val="Corpodetexto"/>
        <w:spacing w:before="0" w:beforeAutospacing="0" w:after="0" w:afterAutospacing="0" w:line="276" w:lineRule="auto"/>
        <w:contextualSpacing/>
        <w:jc w:val="both"/>
        <w:rPr>
          <w:rFonts w:ascii="Arial" w:hAnsi="Arial" w:cs="Arial"/>
          <w:b/>
          <w:bCs/>
        </w:rPr>
      </w:pPr>
    </w:p>
    <w:p w14:paraId="333D338E" w14:textId="77777777" w:rsidR="00F44328" w:rsidRDefault="00F44328" w:rsidP="002C413A">
      <w:pPr>
        <w:pStyle w:val="Corpodetexto"/>
        <w:spacing w:before="0" w:beforeAutospacing="0" w:after="0" w:afterAutospacing="0" w:line="276" w:lineRule="auto"/>
        <w:contextualSpacing/>
        <w:jc w:val="both"/>
        <w:rPr>
          <w:rFonts w:ascii="Arial" w:hAnsi="Arial" w:cs="Arial"/>
          <w:b/>
          <w:bCs/>
        </w:rPr>
      </w:pPr>
    </w:p>
    <w:p w14:paraId="7D14BB2A" w14:textId="77777777" w:rsidR="00F44328" w:rsidRDefault="00F44328" w:rsidP="002C413A">
      <w:pPr>
        <w:pStyle w:val="Corpodetexto"/>
        <w:spacing w:before="0" w:beforeAutospacing="0" w:after="0" w:afterAutospacing="0" w:line="276" w:lineRule="auto"/>
        <w:contextualSpacing/>
        <w:jc w:val="both"/>
        <w:rPr>
          <w:rFonts w:ascii="Arial" w:hAnsi="Arial" w:cs="Arial"/>
          <w:b/>
          <w:bCs/>
        </w:rPr>
      </w:pPr>
    </w:p>
    <w:p w14:paraId="617F3841" w14:textId="1C23C5B7" w:rsidR="002C413A" w:rsidRPr="007051DD" w:rsidRDefault="00F44328" w:rsidP="002C413A">
      <w:pPr>
        <w:pStyle w:val="Corpodetexto"/>
        <w:spacing w:before="0" w:beforeAutospacing="0" w:after="0" w:afterAutospacing="0" w:line="276" w:lineRule="auto"/>
        <w:contextualSpacing/>
        <w:jc w:val="both"/>
        <w:rPr>
          <w:rFonts w:ascii="Arial" w:eastAsia="Calibri" w:hAnsi="Arial" w:cs="Arial"/>
        </w:rPr>
      </w:pPr>
      <w:r>
        <w:rPr>
          <w:rFonts w:ascii="Arial" w:hAnsi="Arial" w:cs="Arial"/>
          <w:b/>
          <w:bCs/>
        </w:rPr>
        <w:t>Márcio Bonini Notari</w:t>
      </w:r>
      <w:r w:rsidR="002C413A" w:rsidRPr="007051DD">
        <w:rPr>
          <w:rStyle w:val="Refdenotaderodap"/>
          <w:rFonts w:ascii="Arial" w:hAnsi="Arial" w:cs="Arial"/>
        </w:rPr>
        <w:footnoteReference w:id="1"/>
      </w:r>
      <w:r w:rsidR="00B55E31">
        <w:rPr>
          <w:rFonts w:ascii="Arial" w:hAnsi="Arial" w:cs="Arial"/>
          <w:b/>
          <w:bCs/>
        </w:rPr>
        <w:t xml:space="preserve"> </w:t>
      </w:r>
    </w:p>
    <w:p w14:paraId="0EECBF70" w14:textId="088CB476" w:rsidR="00B55E31" w:rsidRDefault="00F44328" w:rsidP="00A74222">
      <w:pPr>
        <w:pStyle w:val="Corpodetexto"/>
        <w:spacing w:before="0" w:beforeAutospacing="0" w:after="0" w:afterAutospacing="0" w:line="276" w:lineRule="auto"/>
        <w:contextualSpacing/>
        <w:jc w:val="both"/>
        <w:rPr>
          <w:rFonts w:ascii="Arial" w:hAnsi="Arial" w:cs="Arial"/>
          <w:i/>
          <w:iCs/>
        </w:rPr>
      </w:pPr>
      <w:r>
        <w:rPr>
          <w:rFonts w:ascii="Arial" w:hAnsi="Arial" w:cs="Arial"/>
          <w:i/>
          <w:iCs/>
        </w:rPr>
        <w:t xml:space="preserve">Universidade Federal de </w:t>
      </w:r>
      <w:proofErr w:type="spellStart"/>
      <w:r>
        <w:rPr>
          <w:rFonts w:ascii="Arial" w:hAnsi="Arial" w:cs="Arial"/>
          <w:i/>
          <w:iCs/>
        </w:rPr>
        <w:t>Rondonia</w:t>
      </w:r>
      <w:proofErr w:type="spellEnd"/>
    </w:p>
    <w:p w14:paraId="5A49786F" w14:textId="77777777" w:rsidR="00F44328" w:rsidRDefault="00F44328" w:rsidP="00A74222">
      <w:pPr>
        <w:pStyle w:val="Corpodetexto"/>
        <w:spacing w:before="0" w:beforeAutospacing="0" w:after="0" w:afterAutospacing="0" w:line="276" w:lineRule="auto"/>
        <w:contextualSpacing/>
        <w:jc w:val="both"/>
        <w:rPr>
          <w:rFonts w:ascii="Arial" w:hAnsi="Arial" w:cs="Arial"/>
          <w:i/>
          <w:iCs/>
        </w:rPr>
      </w:pPr>
    </w:p>
    <w:p w14:paraId="00278D89" w14:textId="4BBFA363" w:rsidR="00F44328" w:rsidRDefault="00F44328" w:rsidP="00A74222">
      <w:pPr>
        <w:pStyle w:val="Corpodetexto"/>
        <w:spacing w:before="0" w:beforeAutospacing="0" w:after="0" w:afterAutospacing="0" w:line="276" w:lineRule="auto"/>
        <w:contextualSpacing/>
        <w:jc w:val="both"/>
        <w:rPr>
          <w:rFonts w:ascii="Arial" w:hAnsi="Arial" w:cs="Arial"/>
          <w:b/>
          <w:bCs/>
        </w:rPr>
      </w:pPr>
      <w:r w:rsidRPr="00F44328">
        <w:rPr>
          <w:rFonts w:ascii="Arial" w:hAnsi="Arial" w:cs="Arial"/>
          <w:b/>
          <w:bCs/>
        </w:rPr>
        <w:t>Sarah Gonçalves Ribeiro</w:t>
      </w:r>
      <w:r w:rsidR="00094B1A">
        <w:rPr>
          <w:rStyle w:val="Refdenotaderodap"/>
          <w:rFonts w:ascii="Arial" w:hAnsi="Arial" w:cs="Arial"/>
          <w:b/>
          <w:bCs/>
        </w:rPr>
        <w:footnoteReference w:id="2"/>
      </w:r>
    </w:p>
    <w:p w14:paraId="118E67DB" w14:textId="422BE036" w:rsidR="00F44328" w:rsidRPr="00F44328" w:rsidRDefault="00F44328" w:rsidP="00A74222">
      <w:pPr>
        <w:pStyle w:val="Corpodetexto"/>
        <w:spacing w:before="0" w:beforeAutospacing="0" w:after="0" w:afterAutospacing="0" w:line="276" w:lineRule="auto"/>
        <w:contextualSpacing/>
        <w:jc w:val="both"/>
        <w:rPr>
          <w:rFonts w:ascii="Arial" w:hAnsi="Arial" w:cs="Arial"/>
          <w:i/>
          <w:iCs/>
        </w:rPr>
      </w:pPr>
      <w:r>
        <w:rPr>
          <w:rFonts w:ascii="Arial" w:hAnsi="Arial" w:cs="Arial"/>
          <w:i/>
          <w:iCs/>
        </w:rPr>
        <w:t xml:space="preserve">Pontifícia Universidade Católica do Rio Grande do Sul </w:t>
      </w:r>
    </w:p>
    <w:p w14:paraId="7EEDB827" w14:textId="77777777" w:rsidR="00FC53A2" w:rsidRPr="007051DD" w:rsidRDefault="00FC53A2" w:rsidP="00FC53A2">
      <w:pPr>
        <w:spacing w:after="0" w:line="360" w:lineRule="auto"/>
        <w:jc w:val="both"/>
        <w:rPr>
          <w:rFonts w:ascii="Arial" w:hAnsi="Arial" w:cs="Arial"/>
          <w:b/>
          <w:bCs/>
          <w:sz w:val="24"/>
          <w:szCs w:val="24"/>
        </w:rPr>
      </w:pPr>
    </w:p>
    <w:p w14:paraId="39C28BE8" w14:textId="77777777" w:rsidR="00D40A53" w:rsidRDefault="00D40A53" w:rsidP="00026B5B">
      <w:pPr>
        <w:spacing w:after="0"/>
        <w:jc w:val="both"/>
        <w:rPr>
          <w:rFonts w:ascii="Arial" w:hAnsi="Arial" w:cs="Arial"/>
          <w:b/>
          <w:bCs/>
          <w:sz w:val="24"/>
          <w:szCs w:val="24"/>
        </w:rPr>
      </w:pPr>
    </w:p>
    <w:p w14:paraId="106F1646" w14:textId="6D48E63F" w:rsidR="00FC53A2" w:rsidRPr="00785179" w:rsidRDefault="00A74222" w:rsidP="00785179">
      <w:pPr>
        <w:spacing w:after="0" w:line="360" w:lineRule="auto"/>
        <w:jc w:val="both"/>
        <w:rPr>
          <w:rFonts w:ascii="Arial" w:hAnsi="Arial" w:cs="Arial"/>
          <w:color w:val="8496B0" w:themeColor="text2" w:themeTint="99"/>
          <w:sz w:val="24"/>
          <w:szCs w:val="24"/>
          <w:lang w:val="en-US"/>
        </w:rPr>
      </w:pPr>
      <w:r w:rsidRPr="00094B1A">
        <w:rPr>
          <w:rFonts w:ascii="Arial" w:hAnsi="Arial" w:cs="Arial"/>
          <w:b/>
          <w:bCs/>
          <w:sz w:val="24"/>
          <w:szCs w:val="24"/>
        </w:rPr>
        <w:t>Sumário</w:t>
      </w:r>
      <w:r w:rsidR="00FC53A2" w:rsidRPr="00094B1A">
        <w:rPr>
          <w:rFonts w:ascii="Arial" w:hAnsi="Arial" w:cs="Arial"/>
          <w:b/>
          <w:bCs/>
          <w:sz w:val="24"/>
          <w:szCs w:val="24"/>
        </w:rPr>
        <w:t xml:space="preserve">: </w:t>
      </w:r>
      <w:r w:rsidR="00FC53A2" w:rsidRPr="00094B1A">
        <w:rPr>
          <w:rFonts w:ascii="Arial" w:hAnsi="Arial" w:cs="Arial"/>
          <w:sz w:val="24"/>
          <w:szCs w:val="24"/>
        </w:rPr>
        <w:t xml:space="preserve">1. </w:t>
      </w:r>
      <w:r w:rsidRPr="00094B1A">
        <w:rPr>
          <w:rFonts w:ascii="Arial" w:hAnsi="Arial" w:cs="Arial"/>
          <w:sz w:val="24"/>
          <w:szCs w:val="24"/>
        </w:rPr>
        <w:t>Introdução</w:t>
      </w:r>
      <w:r w:rsidR="00FC53A2" w:rsidRPr="00094B1A">
        <w:rPr>
          <w:rFonts w:ascii="Arial" w:hAnsi="Arial" w:cs="Arial"/>
          <w:sz w:val="24"/>
          <w:szCs w:val="24"/>
        </w:rPr>
        <w:t>; 2.</w:t>
      </w:r>
      <w:r w:rsidR="00094B1A" w:rsidRPr="00094B1A">
        <w:rPr>
          <w:rFonts w:ascii="Arial" w:hAnsi="Arial" w:cs="Arial"/>
          <w:sz w:val="24"/>
          <w:szCs w:val="24"/>
        </w:rPr>
        <w:t xml:space="preserve"> </w:t>
      </w:r>
      <w:r w:rsidR="00094B1A" w:rsidRPr="00094B1A">
        <w:rPr>
          <w:rFonts w:ascii="Arial" w:eastAsia="Times New Roman" w:hAnsi="Arial" w:cs="Arial"/>
          <w:color w:val="000000"/>
          <w:sz w:val="24"/>
          <w:szCs w:val="24"/>
        </w:rPr>
        <w:t>Michel Foucault: uma breve introdução</w:t>
      </w:r>
      <w:r w:rsidR="00094B1A" w:rsidRPr="00094B1A">
        <w:rPr>
          <w:rFonts w:ascii="Arial" w:hAnsi="Arial" w:cs="Arial"/>
          <w:sz w:val="24"/>
          <w:szCs w:val="24"/>
          <w:lang w:val="en-US"/>
        </w:rPr>
        <w:t>; 3.</w:t>
      </w:r>
      <w:r w:rsidR="00094B1A">
        <w:rPr>
          <w:rFonts w:ascii="Arial" w:hAnsi="Arial" w:cs="Arial"/>
          <w:b/>
          <w:bCs/>
          <w:sz w:val="24"/>
          <w:szCs w:val="24"/>
          <w:lang w:val="en-US"/>
        </w:rPr>
        <w:t xml:space="preserve"> </w:t>
      </w:r>
      <w:r w:rsidR="00094B1A" w:rsidRPr="00094B1A">
        <w:rPr>
          <w:rFonts w:ascii="Arial" w:eastAsia="Times New Roman" w:hAnsi="Arial" w:cs="Arial"/>
          <w:sz w:val="24"/>
          <w:szCs w:val="24"/>
        </w:rPr>
        <w:t xml:space="preserve">As precauções metodológicas em </w:t>
      </w:r>
      <w:r w:rsidR="00094B1A">
        <w:rPr>
          <w:rFonts w:ascii="Arial" w:eastAsia="Times New Roman" w:hAnsi="Arial" w:cs="Arial"/>
          <w:sz w:val="24"/>
          <w:szCs w:val="24"/>
        </w:rPr>
        <w:t>F</w:t>
      </w:r>
      <w:r w:rsidR="00094B1A" w:rsidRPr="00094B1A">
        <w:rPr>
          <w:rFonts w:ascii="Arial" w:eastAsia="Times New Roman" w:hAnsi="Arial" w:cs="Arial"/>
          <w:sz w:val="24"/>
          <w:szCs w:val="24"/>
        </w:rPr>
        <w:t>oucault</w:t>
      </w:r>
      <w:r w:rsidR="00094B1A">
        <w:rPr>
          <w:rFonts w:ascii="Arial" w:eastAsia="Times New Roman" w:hAnsi="Arial" w:cs="Arial"/>
          <w:sz w:val="24"/>
          <w:szCs w:val="24"/>
        </w:rPr>
        <w:t>; 4</w:t>
      </w:r>
      <w:r w:rsidR="00094B1A" w:rsidRPr="00094B1A">
        <w:rPr>
          <w:rFonts w:ascii="Arial" w:eastAsia="Times New Roman" w:hAnsi="Arial" w:cs="Arial"/>
          <w:sz w:val="24"/>
          <w:szCs w:val="24"/>
        </w:rPr>
        <w:t>. As malhas do poder</w:t>
      </w:r>
      <w:r w:rsidR="00094B1A">
        <w:rPr>
          <w:rFonts w:ascii="Arial" w:eastAsia="Times New Roman" w:hAnsi="Arial" w:cs="Arial"/>
          <w:sz w:val="24"/>
          <w:szCs w:val="24"/>
        </w:rPr>
        <w:t xml:space="preserve">; </w:t>
      </w:r>
      <w:r w:rsidR="00FC53A2" w:rsidRPr="007051DD">
        <w:rPr>
          <w:rFonts w:ascii="Arial" w:hAnsi="Arial" w:cs="Arial"/>
          <w:sz w:val="24"/>
          <w:szCs w:val="24"/>
        </w:rPr>
        <w:t xml:space="preserve">5. </w:t>
      </w:r>
      <w:r w:rsidRPr="007051DD">
        <w:rPr>
          <w:rFonts w:ascii="Arial" w:hAnsi="Arial" w:cs="Arial"/>
          <w:sz w:val="24"/>
          <w:szCs w:val="24"/>
        </w:rPr>
        <w:t>Conclusão</w:t>
      </w:r>
      <w:r w:rsidR="00FC53A2" w:rsidRPr="007051DD">
        <w:rPr>
          <w:rFonts w:ascii="Arial" w:hAnsi="Arial" w:cs="Arial"/>
          <w:sz w:val="24"/>
          <w:szCs w:val="24"/>
        </w:rPr>
        <w:t xml:space="preserve">; 6. </w:t>
      </w:r>
      <w:r w:rsidRPr="007051DD">
        <w:rPr>
          <w:rFonts w:ascii="Arial" w:hAnsi="Arial" w:cs="Arial"/>
          <w:sz w:val="24"/>
          <w:szCs w:val="24"/>
        </w:rPr>
        <w:t>Referências Bibliográficas</w:t>
      </w:r>
      <w:r w:rsidR="00FC53A2" w:rsidRPr="007051DD">
        <w:rPr>
          <w:rFonts w:ascii="Arial" w:hAnsi="Arial" w:cs="Arial"/>
          <w:sz w:val="24"/>
          <w:szCs w:val="24"/>
        </w:rPr>
        <w:t>.</w:t>
      </w:r>
    </w:p>
    <w:p w14:paraId="7F5214B1" w14:textId="77777777" w:rsidR="00D40A53" w:rsidRPr="00322D78" w:rsidRDefault="00D40A53" w:rsidP="00026B5B">
      <w:pPr>
        <w:spacing w:after="0"/>
        <w:jc w:val="both"/>
        <w:rPr>
          <w:rFonts w:ascii="Arial" w:hAnsi="Arial" w:cs="Arial"/>
          <w:b/>
          <w:sz w:val="24"/>
          <w:szCs w:val="24"/>
        </w:rPr>
      </w:pPr>
    </w:p>
    <w:p w14:paraId="05E58C18" w14:textId="77777777" w:rsidR="00F44328" w:rsidRPr="0040766B" w:rsidRDefault="00A74222" w:rsidP="00F44328">
      <w:pPr>
        <w:tabs>
          <w:tab w:val="left" w:pos="989"/>
        </w:tabs>
        <w:spacing w:after="0" w:line="240" w:lineRule="auto"/>
        <w:jc w:val="both"/>
        <w:rPr>
          <w:rFonts w:ascii="Arial" w:eastAsia="Times New Roman" w:hAnsi="Arial" w:cs="Arial"/>
          <w:sz w:val="24"/>
          <w:szCs w:val="24"/>
        </w:rPr>
      </w:pPr>
      <w:r w:rsidRPr="00D40A53">
        <w:rPr>
          <w:rFonts w:ascii="Arial" w:hAnsi="Arial" w:cs="Arial"/>
          <w:b/>
          <w:sz w:val="24"/>
          <w:szCs w:val="24"/>
        </w:rPr>
        <w:t>Resumo</w:t>
      </w:r>
      <w:r w:rsidR="002C413A" w:rsidRPr="00D40A53">
        <w:rPr>
          <w:rFonts w:ascii="Arial" w:hAnsi="Arial" w:cs="Arial"/>
          <w:b/>
          <w:sz w:val="24"/>
          <w:szCs w:val="24"/>
        </w:rPr>
        <w:t xml:space="preserve">: </w:t>
      </w:r>
      <w:r w:rsidR="00F44328" w:rsidRPr="0040766B">
        <w:rPr>
          <w:rFonts w:ascii="Arial" w:eastAsia="Times New Roman" w:hAnsi="Arial" w:cs="Arial"/>
          <w:sz w:val="24"/>
          <w:szCs w:val="24"/>
        </w:rPr>
        <w:t xml:space="preserve">O objetivo do presente trabalho é analisar a concepção jurídica de poder, a partir da análise do pensamento de Michel Foucault realizada em conferência na Universidade Federal da Bahia (1981), cujo texto é intitulado “As Malhas do Poder”, buscando problematizar a questão do exercício do poder em rede, as regras que regem a sua funcionalidade e o sistema de leis estabelecido pelo poder sobre o corpo social. O autor não deixando a margem o legado de Marx enquanto referencial teórico, tenta estabelecer um diálogo entre a democracia representativa de Rousseau e o marxismo para além da luta de classes, se pautando por uma visão estrutural e o reflexo do poder econômico na sociedade, tendo por base as pessoas enquanto agentes do poder, como múltiplas formas de sujeição e dominação no interior do corpo social. O problema envolvido no trabalho, trata da constituição do poder não apenas a partir da </w:t>
      </w:r>
      <w:r w:rsidR="00F44328" w:rsidRPr="0040766B">
        <w:rPr>
          <w:rFonts w:ascii="Arial" w:eastAsia="Times New Roman" w:hAnsi="Arial" w:cs="Arial"/>
          <w:sz w:val="24"/>
          <w:szCs w:val="24"/>
        </w:rPr>
        <w:lastRenderedPageBreak/>
        <w:t xml:space="preserve">divisão entre classe dominante versus classe dominada; todavia, na visão </w:t>
      </w:r>
      <w:proofErr w:type="spellStart"/>
      <w:r w:rsidR="00F44328" w:rsidRPr="0040766B">
        <w:rPr>
          <w:rFonts w:ascii="Arial" w:eastAsia="Times New Roman" w:hAnsi="Arial" w:cs="Arial"/>
          <w:sz w:val="24"/>
          <w:szCs w:val="24"/>
        </w:rPr>
        <w:t>Foucaltiana</w:t>
      </w:r>
      <w:proofErr w:type="spellEnd"/>
      <w:r w:rsidR="00F44328" w:rsidRPr="0040766B">
        <w:rPr>
          <w:rFonts w:ascii="Arial" w:eastAsia="Times New Roman" w:hAnsi="Arial" w:cs="Arial"/>
          <w:sz w:val="24"/>
          <w:szCs w:val="24"/>
        </w:rPr>
        <w:t xml:space="preserve"> o poder funcionaria de maneira circular, isto é, através de instituições e entidades, tais como, as escolas, locais de trabalho, clínicas, prisões, exércitos e o direito. Portanto, as relações de poder não se constituem pelo uso da força bruta numa relação de dominação direta, mas a partir do exercício do ciclo do capital produtivo (circulação do poder), onde há uma pluralidade de poderes, não apenas o poder do Estado, não havendo uma dinâmica de unidade, mas de funcionamento, em que a sociedade funciona como um arquipélago de poderes.  </w:t>
      </w:r>
    </w:p>
    <w:p w14:paraId="6B7823A4" w14:textId="523C2AE4" w:rsidR="002C413A" w:rsidRPr="00D40A53" w:rsidRDefault="002C413A" w:rsidP="00026B5B">
      <w:pPr>
        <w:spacing w:after="0"/>
        <w:jc w:val="both"/>
        <w:rPr>
          <w:rFonts w:ascii="Arial" w:eastAsia="Times New Roman" w:hAnsi="Arial" w:cs="Arial"/>
          <w:bCs/>
          <w:sz w:val="24"/>
          <w:szCs w:val="24"/>
          <w:lang w:eastAsia="pt-BR"/>
        </w:rPr>
      </w:pPr>
    </w:p>
    <w:p w14:paraId="2F113521" w14:textId="77777777" w:rsidR="00F44328" w:rsidRPr="00F44328" w:rsidRDefault="00A74222" w:rsidP="00F44328">
      <w:pPr>
        <w:spacing w:after="0" w:line="240" w:lineRule="auto"/>
        <w:jc w:val="both"/>
        <w:rPr>
          <w:rFonts w:ascii="Arial" w:eastAsia="Times New Roman" w:hAnsi="Arial" w:cs="Arial"/>
          <w:sz w:val="24"/>
          <w:szCs w:val="24"/>
        </w:rPr>
      </w:pPr>
      <w:r w:rsidRPr="00D40A53">
        <w:rPr>
          <w:rFonts w:ascii="Arial" w:eastAsia="Times New Roman" w:hAnsi="Arial" w:cs="Arial"/>
          <w:b/>
          <w:bCs/>
          <w:color w:val="000000"/>
          <w:sz w:val="24"/>
          <w:szCs w:val="24"/>
          <w:lang w:eastAsia="pt-BR"/>
        </w:rPr>
        <w:t>Palavras-chave</w:t>
      </w:r>
      <w:r w:rsidR="002C413A" w:rsidRPr="00D40A53">
        <w:rPr>
          <w:rFonts w:ascii="Arial" w:eastAsia="Times New Roman" w:hAnsi="Arial" w:cs="Arial"/>
          <w:b/>
          <w:bCs/>
          <w:color w:val="000000"/>
          <w:sz w:val="24"/>
          <w:szCs w:val="24"/>
          <w:lang w:eastAsia="pt-BR"/>
        </w:rPr>
        <w:t xml:space="preserve">: </w:t>
      </w:r>
      <w:r w:rsidR="00F44328" w:rsidRPr="00F44328">
        <w:rPr>
          <w:rFonts w:ascii="Arial" w:eastAsia="Times New Roman" w:hAnsi="Arial" w:cs="Arial"/>
          <w:sz w:val="24"/>
          <w:szCs w:val="24"/>
        </w:rPr>
        <w:t xml:space="preserve">Biopoder, direito, exercício do poder em rede, malhas do poder, produção. </w:t>
      </w:r>
    </w:p>
    <w:p w14:paraId="7AFC3ECA" w14:textId="4230106D" w:rsidR="002C413A" w:rsidRPr="00D40A53" w:rsidRDefault="002C413A" w:rsidP="00026B5B">
      <w:pPr>
        <w:shd w:val="clear" w:color="auto" w:fill="FFFFFF"/>
        <w:spacing w:after="0"/>
        <w:jc w:val="both"/>
        <w:rPr>
          <w:rFonts w:ascii="Arial" w:eastAsia="Times New Roman" w:hAnsi="Arial" w:cs="Arial"/>
          <w:i/>
          <w:iCs/>
          <w:color w:val="000000"/>
          <w:sz w:val="24"/>
          <w:szCs w:val="24"/>
          <w:lang w:eastAsia="pt-BR"/>
        </w:rPr>
      </w:pPr>
    </w:p>
    <w:p w14:paraId="432859E9" w14:textId="77777777" w:rsidR="00026B5B" w:rsidRPr="00D40A53" w:rsidRDefault="00026B5B" w:rsidP="00026B5B">
      <w:pPr>
        <w:shd w:val="clear" w:color="auto" w:fill="FFFFFF"/>
        <w:spacing w:after="0"/>
        <w:jc w:val="both"/>
        <w:rPr>
          <w:rFonts w:ascii="Arial" w:eastAsia="Times New Roman" w:hAnsi="Arial" w:cs="Arial"/>
          <w:i/>
          <w:iCs/>
          <w:color w:val="000000"/>
          <w:sz w:val="24"/>
          <w:szCs w:val="24"/>
          <w:lang w:eastAsia="pt-BR"/>
        </w:rPr>
      </w:pPr>
    </w:p>
    <w:p w14:paraId="2D11E6F3" w14:textId="0A7FA963" w:rsidR="00F44328" w:rsidRPr="00F44328" w:rsidRDefault="00A74222" w:rsidP="00F44328">
      <w:pPr>
        <w:shd w:val="clear" w:color="auto" w:fill="FFFFFF"/>
        <w:spacing w:after="0"/>
        <w:jc w:val="both"/>
        <w:rPr>
          <w:rFonts w:ascii="Arial" w:eastAsia="Times New Roman" w:hAnsi="Arial" w:cs="Arial"/>
          <w:color w:val="000000"/>
          <w:sz w:val="24"/>
          <w:szCs w:val="24"/>
          <w:lang w:eastAsia="pt-BR"/>
        </w:rPr>
      </w:pPr>
      <w:r w:rsidRPr="00D40A53">
        <w:rPr>
          <w:rFonts w:ascii="Arial" w:hAnsi="Arial" w:cs="Arial"/>
          <w:b/>
          <w:sz w:val="24"/>
          <w:szCs w:val="24"/>
        </w:rPr>
        <w:t>Abstract</w:t>
      </w:r>
      <w:r w:rsidR="00026B5B" w:rsidRPr="00D40A53">
        <w:rPr>
          <w:rFonts w:ascii="Arial" w:eastAsia="Times New Roman" w:hAnsi="Arial" w:cs="Arial"/>
          <w:b/>
          <w:bCs/>
          <w:color w:val="000000"/>
          <w:sz w:val="24"/>
          <w:szCs w:val="24"/>
          <w:lang w:eastAsia="pt-BR"/>
        </w:rPr>
        <w:t>:</w:t>
      </w:r>
      <w:r w:rsidR="00F44328">
        <w:rPr>
          <w:rFonts w:ascii="Arial" w:eastAsia="Times New Roman" w:hAnsi="Arial" w:cs="Arial"/>
          <w:b/>
          <w:bCs/>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This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study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aims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to</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analyze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legal </w:t>
      </w:r>
      <w:proofErr w:type="spellStart"/>
      <w:r w:rsidR="00F44328" w:rsidRPr="00F44328">
        <w:rPr>
          <w:rFonts w:ascii="Arial" w:eastAsia="Times New Roman" w:hAnsi="Arial" w:cs="Arial"/>
          <w:color w:val="000000"/>
          <w:sz w:val="24"/>
          <w:szCs w:val="24"/>
          <w:lang w:eastAsia="pt-BR"/>
        </w:rPr>
        <w:t>conception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based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on</w:t>
      </w:r>
      <w:proofErr w:type="spellEnd"/>
      <w:r w:rsidR="00F44328" w:rsidRPr="00F44328">
        <w:rPr>
          <w:rFonts w:ascii="Arial" w:eastAsia="Times New Roman" w:hAnsi="Arial" w:cs="Arial"/>
          <w:color w:val="000000"/>
          <w:sz w:val="24"/>
          <w:szCs w:val="24"/>
          <w:lang w:eastAsia="pt-BR"/>
        </w:rPr>
        <w:t xml:space="preserve"> Michel </w:t>
      </w:r>
      <w:proofErr w:type="spellStart"/>
      <w:r w:rsidR="00F44328" w:rsidRPr="00F44328">
        <w:rPr>
          <w:rFonts w:ascii="Arial" w:eastAsia="Times New Roman" w:hAnsi="Arial" w:cs="Arial"/>
          <w:color w:val="000000"/>
          <w:sz w:val="24"/>
          <w:szCs w:val="24"/>
          <w:lang w:eastAsia="pt-BR"/>
        </w:rPr>
        <w:t>Foucault’s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thought</w:t>
      </w:r>
      <w:proofErr w:type="spellEnd"/>
      <w:r w:rsidR="00F44328" w:rsidRPr="00F44328">
        <w:rPr>
          <w:rFonts w:ascii="Arial" w:eastAsia="Times New Roman" w:hAnsi="Arial" w:cs="Arial"/>
          <w:color w:val="000000"/>
          <w:sz w:val="24"/>
          <w:szCs w:val="24"/>
          <w:lang w:eastAsia="pt-BR"/>
        </w:rPr>
        <w:t>—</w:t>
      </w:r>
      <w:proofErr w:type="spellStart"/>
      <w:r w:rsidR="00F44328" w:rsidRPr="00F44328">
        <w:rPr>
          <w:rFonts w:ascii="Arial" w:eastAsia="Times New Roman" w:hAnsi="Arial" w:cs="Arial"/>
          <w:color w:val="000000"/>
          <w:sz w:val="24"/>
          <w:szCs w:val="24"/>
          <w:lang w:eastAsia="pt-BR"/>
        </w:rPr>
        <w:t>specifically</w:t>
      </w:r>
      <w:proofErr w:type="spellEnd"/>
      <w:r w:rsidR="00F44328" w:rsidRPr="00F44328">
        <w:rPr>
          <w:rFonts w:ascii="Arial" w:eastAsia="Times New Roman" w:hAnsi="Arial" w:cs="Arial"/>
          <w:color w:val="000000"/>
          <w:sz w:val="24"/>
          <w:szCs w:val="24"/>
          <w:lang w:eastAsia="pt-BR"/>
        </w:rPr>
        <w:t xml:space="preserve"> a 1981 </w:t>
      </w:r>
      <w:proofErr w:type="spellStart"/>
      <w:r w:rsidR="00F44328" w:rsidRPr="00F44328">
        <w:rPr>
          <w:rFonts w:ascii="Arial" w:eastAsia="Times New Roman" w:hAnsi="Arial" w:cs="Arial"/>
          <w:color w:val="000000"/>
          <w:sz w:val="24"/>
          <w:szCs w:val="24"/>
          <w:lang w:eastAsia="pt-BR"/>
        </w:rPr>
        <w:t>lecture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Federal </w:t>
      </w:r>
      <w:proofErr w:type="spellStart"/>
      <w:r w:rsidR="00F44328" w:rsidRPr="00F44328">
        <w:rPr>
          <w:rFonts w:ascii="Arial" w:eastAsia="Times New Roman" w:hAnsi="Arial" w:cs="Arial"/>
          <w:color w:val="000000"/>
          <w:sz w:val="24"/>
          <w:szCs w:val="24"/>
          <w:lang w:eastAsia="pt-BR"/>
        </w:rPr>
        <w:t>University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Bahia </w:t>
      </w:r>
      <w:proofErr w:type="spellStart"/>
      <w:r w:rsidR="00F44328" w:rsidRPr="00F44328">
        <w:rPr>
          <w:rFonts w:ascii="Arial" w:eastAsia="Times New Roman" w:hAnsi="Arial" w:cs="Arial"/>
          <w:color w:val="000000"/>
          <w:sz w:val="24"/>
          <w:szCs w:val="24"/>
          <w:lang w:eastAsia="pt-BR"/>
        </w:rPr>
        <w:t>titled</w:t>
      </w:r>
      <w:proofErr w:type="spellEnd"/>
      <w:r w:rsidR="00F44328" w:rsidRPr="00F44328">
        <w:rPr>
          <w:rFonts w:ascii="Arial" w:eastAsia="Times New Roman" w:hAnsi="Arial" w:cs="Arial"/>
          <w:color w:val="000000"/>
          <w:sz w:val="24"/>
          <w:szCs w:val="24"/>
          <w:lang w:eastAsia="pt-BR"/>
        </w:rPr>
        <w:t xml:space="preserve"> "The </w:t>
      </w:r>
      <w:proofErr w:type="spellStart"/>
      <w:r w:rsidR="00F44328" w:rsidRPr="00F44328">
        <w:rPr>
          <w:rFonts w:ascii="Arial" w:eastAsia="Times New Roman" w:hAnsi="Arial" w:cs="Arial"/>
          <w:color w:val="000000"/>
          <w:sz w:val="24"/>
          <w:szCs w:val="24"/>
          <w:lang w:eastAsia="pt-BR"/>
        </w:rPr>
        <w:t>Mesh</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Power" (*As Malhas do Poder*). It </w:t>
      </w:r>
      <w:proofErr w:type="spellStart"/>
      <w:r w:rsidR="00F44328" w:rsidRPr="00F44328">
        <w:rPr>
          <w:rFonts w:ascii="Arial" w:eastAsia="Times New Roman" w:hAnsi="Arial" w:cs="Arial"/>
          <w:color w:val="000000"/>
          <w:sz w:val="24"/>
          <w:szCs w:val="24"/>
          <w:lang w:eastAsia="pt-BR"/>
        </w:rPr>
        <w:t>seeks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to</w:t>
      </w:r>
      <w:proofErr w:type="spellEnd"/>
      <w:r w:rsidR="00F44328" w:rsidRPr="00F44328">
        <w:rPr>
          <w:rFonts w:ascii="Arial" w:eastAsia="Times New Roman" w:hAnsi="Arial" w:cs="Arial"/>
          <w:color w:val="000000"/>
          <w:sz w:val="24"/>
          <w:szCs w:val="24"/>
          <w:lang w:eastAsia="pt-BR"/>
        </w:rPr>
        <w:t xml:space="preserve"> problematize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exercise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as a network,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rules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governing</w:t>
      </w:r>
      <w:proofErr w:type="spellEnd"/>
      <w:r w:rsidR="00F44328" w:rsidRPr="00F44328">
        <w:rPr>
          <w:rFonts w:ascii="Arial" w:eastAsia="Times New Roman" w:hAnsi="Arial" w:cs="Arial"/>
          <w:color w:val="000000"/>
          <w:sz w:val="24"/>
          <w:szCs w:val="24"/>
          <w:lang w:eastAsia="pt-BR"/>
        </w:rPr>
        <w:t xml:space="preserve"> its </w:t>
      </w:r>
      <w:proofErr w:type="spellStart"/>
      <w:r w:rsidR="00F44328" w:rsidRPr="00F44328">
        <w:rPr>
          <w:rFonts w:ascii="Arial" w:eastAsia="Times New Roman" w:hAnsi="Arial" w:cs="Arial"/>
          <w:color w:val="000000"/>
          <w:sz w:val="24"/>
          <w:szCs w:val="24"/>
          <w:lang w:eastAsia="pt-BR"/>
        </w:rPr>
        <w:t>functionality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and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system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laws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established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over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social body. </w:t>
      </w:r>
      <w:proofErr w:type="spellStart"/>
      <w:r w:rsidR="00F44328" w:rsidRPr="00F44328">
        <w:rPr>
          <w:rFonts w:ascii="Arial" w:eastAsia="Times New Roman" w:hAnsi="Arial" w:cs="Arial"/>
          <w:color w:val="000000"/>
          <w:sz w:val="24"/>
          <w:szCs w:val="24"/>
          <w:lang w:eastAsia="pt-BR"/>
        </w:rPr>
        <w:t>Without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disregarding</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Marx’s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legacy</w:t>
      </w:r>
      <w:proofErr w:type="spellEnd"/>
      <w:r w:rsidR="00F44328" w:rsidRPr="00F44328">
        <w:rPr>
          <w:rFonts w:ascii="Arial" w:eastAsia="Times New Roman" w:hAnsi="Arial" w:cs="Arial"/>
          <w:color w:val="000000"/>
          <w:sz w:val="24"/>
          <w:szCs w:val="24"/>
          <w:lang w:eastAsia="pt-BR"/>
        </w:rPr>
        <w:t xml:space="preserve"> as a </w:t>
      </w:r>
      <w:proofErr w:type="spellStart"/>
      <w:r w:rsidR="00F44328" w:rsidRPr="00F44328">
        <w:rPr>
          <w:rFonts w:ascii="Arial" w:eastAsia="Times New Roman" w:hAnsi="Arial" w:cs="Arial"/>
          <w:color w:val="000000"/>
          <w:sz w:val="24"/>
          <w:szCs w:val="24"/>
          <w:lang w:eastAsia="pt-BR"/>
        </w:rPr>
        <w:t>theoretical</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reference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author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attempts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to</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establish</w:t>
      </w:r>
      <w:proofErr w:type="spellEnd"/>
      <w:r w:rsidR="00F44328" w:rsidRPr="00F44328">
        <w:rPr>
          <w:rFonts w:ascii="Arial" w:eastAsia="Times New Roman" w:hAnsi="Arial" w:cs="Arial"/>
          <w:color w:val="000000"/>
          <w:sz w:val="24"/>
          <w:szCs w:val="24"/>
          <w:lang w:eastAsia="pt-BR"/>
        </w:rPr>
        <w:t xml:space="preserve"> a dialogue </w:t>
      </w:r>
      <w:proofErr w:type="spellStart"/>
      <w:r w:rsidR="00F44328" w:rsidRPr="00F44328">
        <w:rPr>
          <w:rFonts w:ascii="Arial" w:eastAsia="Times New Roman" w:hAnsi="Arial" w:cs="Arial"/>
          <w:color w:val="000000"/>
          <w:sz w:val="24"/>
          <w:szCs w:val="24"/>
          <w:lang w:eastAsia="pt-BR"/>
        </w:rPr>
        <w:t>between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Rousseau’s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representative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democracy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and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Marxism</w:t>
      </w:r>
      <w:proofErr w:type="spellEnd"/>
      <w:r w:rsidR="00F44328" w:rsidRPr="00F44328">
        <w:rPr>
          <w:rFonts w:ascii="Arial" w:eastAsia="Times New Roman" w:hAnsi="Arial" w:cs="Arial"/>
          <w:color w:val="000000"/>
          <w:sz w:val="24"/>
          <w:szCs w:val="24"/>
          <w:lang w:eastAsia="pt-BR"/>
        </w:rPr>
        <w:t>—</w:t>
      </w:r>
      <w:proofErr w:type="spellStart"/>
      <w:r w:rsidR="00F44328" w:rsidRPr="00F44328">
        <w:rPr>
          <w:rFonts w:ascii="Arial" w:eastAsia="Times New Roman" w:hAnsi="Arial" w:cs="Arial"/>
          <w:color w:val="000000"/>
          <w:sz w:val="24"/>
          <w:szCs w:val="24"/>
          <w:lang w:eastAsia="pt-BR"/>
        </w:rPr>
        <w:t>moving</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beyond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class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struggle</w:t>
      </w:r>
      <w:proofErr w:type="spellEnd"/>
      <w:r w:rsidR="00F44328" w:rsidRPr="00F44328">
        <w:rPr>
          <w:rFonts w:ascii="Arial" w:eastAsia="Times New Roman" w:hAnsi="Arial" w:cs="Arial"/>
          <w:color w:val="000000"/>
          <w:sz w:val="24"/>
          <w:szCs w:val="24"/>
          <w:lang w:eastAsia="pt-BR"/>
        </w:rPr>
        <w:t>—</w:t>
      </w:r>
      <w:proofErr w:type="spellStart"/>
      <w:r w:rsidR="00F44328" w:rsidRPr="00F44328">
        <w:rPr>
          <w:rFonts w:ascii="Arial" w:eastAsia="Times New Roman" w:hAnsi="Arial" w:cs="Arial"/>
          <w:color w:val="000000"/>
          <w:sz w:val="24"/>
          <w:szCs w:val="24"/>
          <w:lang w:eastAsia="pt-BR"/>
        </w:rPr>
        <w:t>by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focusing</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on</w:t>
      </w:r>
      <w:proofErr w:type="spellEnd"/>
      <w:r w:rsidR="00F44328" w:rsidRPr="00F44328">
        <w:rPr>
          <w:rFonts w:ascii="Arial" w:eastAsia="Times New Roman" w:hAnsi="Arial" w:cs="Arial"/>
          <w:color w:val="000000"/>
          <w:sz w:val="24"/>
          <w:szCs w:val="24"/>
          <w:lang w:eastAsia="pt-BR"/>
        </w:rPr>
        <w:t xml:space="preserve"> a </w:t>
      </w:r>
      <w:proofErr w:type="spellStart"/>
      <w:r w:rsidR="00F44328" w:rsidRPr="00F44328">
        <w:rPr>
          <w:rFonts w:ascii="Arial" w:eastAsia="Times New Roman" w:hAnsi="Arial" w:cs="Arial"/>
          <w:color w:val="000000"/>
          <w:sz w:val="24"/>
          <w:szCs w:val="24"/>
          <w:lang w:eastAsia="pt-BR"/>
        </w:rPr>
        <w:t>structural</w:t>
      </w:r>
      <w:proofErr w:type="spellEnd"/>
      <w:r w:rsidR="00F44328" w:rsidRPr="00F44328">
        <w:rPr>
          <w:rFonts w:ascii="Arial" w:eastAsia="Times New Roman" w:hAnsi="Arial" w:cs="Arial"/>
          <w:color w:val="000000"/>
          <w:sz w:val="24"/>
          <w:szCs w:val="24"/>
          <w:lang w:eastAsia="pt-BR"/>
        </w:rPr>
        <w:t xml:space="preserve"> perspective </w:t>
      </w:r>
      <w:proofErr w:type="spellStart"/>
      <w:r w:rsidR="00F44328" w:rsidRPr="00F44328">
        <w:rPr>
          <w:rFonts w:ascii="Arial" w:eastAsia="Times New Roman" w:hAnsi="Arial" w:cs="Arial"/>
          <w:color w:val="000000"/>
          <w:sz w:val="24"/>
          <w:szCs w:val="24"/>
          <w:lang w:eastAsia="pt-BR"/>
        </w:rPr>
        <w:t>and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reflection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economic</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within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society</w:t>
      </w:r>
      <w:proofErr w:type="spellEnd"/>
      <w:r w:rsidR="00F44328" w:rsidRPr="00F44328">
        <w:rPr>
          <w:rFonts w:ascii="Arial" w:eastAsia="Times New Roman" w:hAnsi="Arial" w:cs="Arial"/>
          <w:color w:val="000000"/>
          <w:sz w:val="24"/>
          <w:szCs w:val="24"/>
          <w:lang w:eastAsia="pt-BR"/>
        </w:rPr>
        <w:t xml:space="preserve">. The </w:t>
      </w:r>
      <w:proofErr w:type="spellStart"/>
      <w:r w:rsidR="00F44328" w:rsidRPr="00F44328">
        <w:rPr>
          <w:rFonts w:ascii="Arial" w:eastAsia="Times New Roman" w:hAnsi="Arial" w:cs="Arial"/>
          <w:color w:val="000000"/>
          <w:sz w:val="24"/>
          <w:szCs w:val="24"/>
          <w:lang w:eastAsia="pt-BR"/>
        </w:rPr>
        <w:t>study</w:t>
      </w:r>
      <w:proofErr w:type="spellEnd"/>
      <w:r w:rsidR="00F44328" w:rsidRPr="00F44328">
        <w:rPr>
          <w:rFonts w:ascii="Arial" w:eastAsia="Times New Roman" w:hAnsi="Arial" w:cs="Arial"/>
          <w:color w:val="000000"/>
          <w:sz w:val="24"/>
          <w:szCs w:val="24"/>
          <w:lang w:eastAsia="pt-BR"/>
        </w:rPr>
        <w:t xml:space="preserve"> centers </w:t>
      </w:r>
      <w:proofErr w:type="spellStart"/>
      <w:r w:rsidR="00F44328" w:rsidRPr="00F44328">
        <w:rPr>
          <w:rFonts w:ascii="Arial" w:eastAsia="Times New Roman" w:hAnsi="Arial" w:cs="Arial"/>
          <w:color w:val="000000"/>
          <w:sz w:val="24"/>
          <w:szCs w:val="24"/>
          <w:lang w:eastAsia="pt-BR"/>
        </w:rPr>
        <w:t>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individuals</w:t>
      </w:r>
      <w:proofErr w:type="spellEnd"/>
      <w:r w:rsidR="00F44328" w:rsidRPr="00F44328">
        <w:rPr>
          <w:rFonts w:ascii="Arial" w:eastAsia="Times New Roman" w:hAnsi="Arial" w:cs="Arial"/>
          <w:color w:val="000000"/>
          <w:sz w:val="24"/>
          <w:szCs w:val="24"/>
          <w:lang w:eastAsia="pt-BR"/>
        </w:rPr>
        <w:t xml:space="preserve"> as </w:t>
      </w:r>
      <w:proofErr w:type="spellStart"/>
      <w:r w:rsidR="00F44328" w:rsidRPr="00F44328">
        <w:rPr>
          <w:rFonts w:ascii="Arial" w:eastAsia="Times New Roman" w:hAnsi="Arial" w:cs="Arial"/>
          <w:color w:val="000000"/>
          <w:sz w:val="24"/>
          <w:szCs w:val="24"/>
          <w:lang w:eastAsia="pt-BR"/>
        </w:rPr>
        <w:t>agents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and</w:t>
      </w:r>
      <w:proofErr w:type="spellEnd"/>
      <w:r w:rsidR="00F44328" w:rsidRPr="00F44328">
        <w:rPr>
          <w:rFonts w:ascii="Arial" w:eastAsia="Times New Roman" w:hAnsi="Arial" w:cs="Arial"/>
          <w:color w:val="000000"/>
          <w:sz w:val="24"/>
          <w:szCs w:val="24"/>
          <w:lang w:eastAsia="pt-BR"/>
        </w:rPr>
        <w:t xml:space="preserve"> examines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multiple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forms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subjection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and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domination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within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social body. The central </w:t>
      </w:r>
      <w:proofErr w:type="spellStart"/>
      <w:r w:rsidR="00F44328" w:rsidRPr="00F44328">
        <w:rPr>
          <w:rFonts w:ascii="Arial" w:eastAsia="Times New Roman" w:hAnsi="Arial" w:cs="Arial"/>
          <w:color w:val="000000"/>
          <w:sz w:val="24"/>
          <w:szCs w:val="24"/>
          <w:lang w:eastAsia="pt-BR"/>
        </w:rPr>
        <w:t>issue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concerns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constitution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not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merely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through</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division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between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dominant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and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dominated</w:t>
      </w:r>
      <w:proofErr w:type="spellEnd"/>
      <w:r w:rsidR="00F44328" w:rsidRPr="00F44328">
        <w:rPr>
          <w:rFonts w:ascii="Arial" w:eastAsia="Times New Roman" w:hAnsi="Arial" w:cs="Arial"/>
          <w:color w:val="000000"/>
          <w:sz w:val="24"/>
          <w:szCs w:val="24"/>
          <w:lang w:eastAsia="pt-BR"/>
        </w:rPr>
        <w:t xml:space="preserve"> classes; </w:t>
      </w:r>
      <w:proofErr w:type="spellStart"/>
      <w:r w:rsidR="00F44328" w:rsidRPr="00F44328">
        <w:rPr>
          <w:rFonts w:ascii="Arial" w:eastAsia="Times New Roman" w:hAnsi="Arial" w:cs="Arial"/>
          <w:color w:val="000000"/>
          <w:sz w:val="24"/>
          <w:szCs w:val="24"/>
          <w:lang w:eastAsia="pt-BR"/>
        </w:rPr>
        <w:t>rather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from</w:t>
      </w:r>
      <w:proofErr w:type="spellEnd"/>
      <w:r w:rsidR="00F44328" w:rsidRPr="00F44328">
        <w:rPr>
          <w:rFonts w:ascii="Arial" w:eastAsia="Times New Roman" w:hAnsi="Arial" w:cs="Arial"/>
          <w:color w:val="000000"/>
          <w:sz w:val="24"/>
          <w:szCs w:val="24"/>
          <w:lang w:eastAsia="pt-BR"/>
        </w:rPr>
        <w:t xml:space="preserve"> a </w:t>
      </w:r>
      <w:proofErr w:type="spellStart"/>
      <w:r w:rsidR="00F44328" w:rsidRPr="00F44328">
        <w:rPr>
          <w:rFonts w:ascii="Arial" w:eastAsia="Times New Roman" w:hAnsi="Arial" w:cs="Arial"/>
          <w:color w:val="000000"/>
          <w:sz w:val="24"/>
          <w:szCs w:val="24"/>
          <w:lang w:eastAsia="pt-BR"/>
        </w:rPr>
        <w:t>Foucauldian</w:t>
      </w:r>
      <w:proofErr w:type="spellEnd"/>
      <w:r w:rsidR="00F44328" w:rsidRPr="00F44328">
        <w:rPr>
          <w:rFonts w:ascii="Arial" w:eastAsia="Times New Roman" w:hAnsi="Arial" w:cs="Arial"/>
          <w:color w:val="000000"/>
          <w:sz w:val="24"/>
          <w:szCs w:val="24"/>
          <w:lang w:eastAsia="pt-BR"/>
        </w:rPr>
        <w:t xml:space="preserve"> perspective,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operates</w:t>
      </w:r>
      <w:proofErr w:type="spellEnd"/>
      <w:r w:rsidR="00F44328" w:rsidRPr="00F44328">
        <w:rPr>
          <w:rFonts w:ascii="Arial" w:eastAsia="Times New Roman" w:hAnsi="Arial" w:cs="Arial"/>
          <w:color w:val="000000"/>
          <w:sz w:val="24"/>
          <w:szCs w:val="24"/>
          <w:lang w:eastAsia="pt-BR"/>
        </w:rPr>
        <w:t xml:space="preserve"> in a circular </w:t>
      </w:r>
      <w:proofErr w:type="spellStart"/>
      <w:r w:rsidR="00F44328" w:rsidRPr="00F44328">
        <w:rPr>
          <w:rFonts w:ascii="Arial" w:eastAsia="Times New Roman" w:hAnsi="Arial" w:cs="Arial"/>
          <w:color w:val="000000"/>
          <w:sz w:val="24"/>
          <w:szCs w:val="24"/>
          <w:lang w:eastAsia="pt-BR"/>
        </w:rPr>
        <w:t>manner</w:t>
      </w:r>
      <w:proofErr w:type="spellEnd"/>
      <w:r w:rsidR="00F44328" w:rsidRPr="00F44328">
        <w:rPr>
          <w:rFonts w:ascii="Arial" w:eastAsia="Times New Roman" w:hAnsi="Arial" w:cs="Arial"/>
          <w:color w:val="000000"/>
          <w:sz w:val="24"/>
          <w:szCs w:val="24"/>
          <w:lang w:eastAsia="pt-BR"/>
        </w:rPr>
        <w:t>—</w:t>
      </w:r>
      <w:proofErr w:type="spellStart"/>
      <w:r w:rsidR="00F44328" w:rsidRPr="00F44328">
        <w:rPr>
          <w:rFonts w:ascii="Arial" w:eastAsia="Times New Roman" w:hAnsi="Arial" w:cs="Arial"/>
          <w:color w:val="000000"/>
          <w:sz w:val="24"/>
          <w:szCs w:val="24"/>
          <w:lang w:eastAsia="pt-BR"/>
        </w:rPr>
        <w:t>through</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institutions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and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entities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such</w:t>
      </w:r>
      <w:proofErr w:type="spellEnd"/>
      <w:r w:rsidR="00F44328" w:rsidRPr="00F44328">
        <w:rPr>
          <w:rFonts w:ascii="Arial" w:eastAsia="Times New Roman" w:hAnsi="Arial" w:cs="Arial"/>
          <w:color w:val="000000"/>
          <w:sz w:val="24"/>
          <w:szCs w:val="24"/>
          <w:lang w:eastAsia="pt-BR"/>
        </w:rPr>
        <w:t xml:space="preserve"> as </w:t>
      </w:r>
      <w:proofErr w:type="spellStart"/>
      <w:r w:rsidR="00F44328" w:rsidRPr="00F44328">
        <w:rPr>
          <w:rFonts w:ascii="Arial" w:eastAsia="Times New Roman" w:hAnsi="Arial" w:cs="Arial"/>
          <w:color w:val="000000"/>
          <w:sz w:val="24"/>
          <w:szCs w:val="24"/>
          <w:lang w:eastAsia="pt-BR"/>
        </w:rPr>
        <w:t>schools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workplaces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clinics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prisons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armies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and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legal system. </w:t>
      </w:r>
      <w:proofErr w:type="spellStart"/>
      <w:r w:rsidR="00F44328" w:rsidRPr="00F44328">
        <w:rPr>
          <w:rFonts w:ascii="Arial" w:eastAsia="Times New Roman" w:hAnsi="Arial" w:cs="Arial"/>
          <w:color w:val="000000"/>
          <w:sz w:val="24"/>
          <w:szCs w:val="24"/>
          <w:lang w:eastAsia="pt-BR"/>
        </w:rPr>
        <w:t>Consequently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relations</w:t>
      </w:r>
      <w:proofErr w:type="spellEnd"/>
      <w:r w:rsidR="00F44328" w:rsidRPr="00F44328">
        <w:rPr>
          <w:rFonts w:ascii="Arial" w:eastAsia="Times New Roman" w:hAnsi="Arial" w:cs="Arial"/>
          <w:color w:val="000000"/>
          <w:sz w:val="24"/>
          <w:szCs w:val="24"/>
          <w:lang w:eastAsia="pt-BR"/>
        </w:rPr>
        <w:t xml:space="preserve"> are </w:t>
      </w:r>
      <w:proofErr w:type="spellStart"/>
      <w:r w:rsidR="00F44328" w:rsidRPr="00F44328">
        <w:rPr>
          <w:rFonts w:ascii="Arial" w:eastAsia="Times New Roman" w:hAnsi="Arial" w:cs="Arial"/>
          <w:color w:val="000000"/>
          <w:sz w:val="24"/>
          <w:szCs w:val="24"/>
          <w:lang w:eastAsia="pt-BR"/>
        </w:rPr>
        <w:t>not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constituted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use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brute</w:t>
      </w:r>
      <w:proofErr w:type="spellEnd"/>
      <w:r w:rsidR="00F44328" w:rsidRPr="00F44328">
        <w:rPr>
          <w:rFonts w:ascii="Arial" w:eastAsia="Times New Roman" w:hAnsi="Arial" w:cs="Arial"/>
          <w:color w:val="000000"/>
          <w:sz w:val="24"/>
          <w:szCs w:val="24"/>
          <w:lang w:eastAsia="pt-BR"/>
        </w:rPr>
        <w:t xml:space="preserve"> force in a direct </w:t>
      </w:r>
      <w:proofErr w:type="spellStart"/>
      <w:r w:rsidR="00F44328" w:rsidRPr="00F44328">
        <w:rPr>
          <w:rFonts w:ascii="Arial" w:eastAsia="Times New Roman" w:hAnsi="Arial" w:cs="Arial"/>
          <w:color w:val="000000"/>
          <w:sz w:val="24"/>
          <w:szCs w:val="24"/>
          <w:lang w:eastAsia="pt-BR"/>
        </w:rPr>
        <w:t>relationship</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domination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but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rather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through</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exercise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productive</w:t>
      </w:r>
      <w:proofErr w:type="spellEnd"/>
      <w:r w:rsidR="00F44328" w:rsidRPr="00F44328">
        <w:rPr>
          <w:rFonts w:ascii="Arial" w:eastAsia="Times New Roman" w:hAnsi="Arial" w:cs="Arial"/>
          <w:color w:val="000000"/>
          <w:sz w:val="24"/>
          <w:szCs w:val="24"/>
          <w:lang w:eastAsia="pt-BR"/>
        </w:rPr>
        <w:t xml:space="preserve"> capital </w:t>
      </w:r>
      <w:proofErr w:type="spellStart"/>
      <w:r w:rsidR="00F44328" w:rsidRPr="00F44328">
        <w:rPr>
          <w:rFonts w:ascii="Arial" w:eastAsia="Times New Roman" w:hAnsi="Arial" w:cs="Arial"/>
          <w:color w:val="000000"/>
          <w:sz w:val="24"/>
          <w:szCs w:val="24"/>
          <w:lang w:eastAsia="pt-BR"/>
        </w:rPr>
        <w:t>cycle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circulation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This</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involves</w:t>
      </w:r>
      <w:proofErr w:type="spellEnd"/>
      <w:r w:rsidR="00F44328" w:rsidRPr="00F44328">
        <w:rPr>
          <w:rFonts w:ascii="Arial" w:eastAsia="Times New Roman" w:hAnsi="Arial" w:cs="Arial"/>
          <w:color w:val="000000"/>
          <w:sz w:val="24"/>
          <w:szCs w:val="24"/>
          <w:lang w:eastAsia="pt-BR"/>
        </w:rPr>
        <w:t xml:space="preserve"> a </w:t>
      </w:r>
      <w:proofErr w:type="spellStart"/>
      <w:r w:rsidR="00F44328" w:rsidRPr="00F44328">
        <w:rPr>
          <w:rFonts w:ascii="Arial" w:eastAsia="Times New Roman" w:hAnsi="Arial" w:cs="Arial"/>
          <w:color w:val="000000"/>
          <w:sz w:val="24"/>
          <w:szCs w:val="24"/>
          <w:lang w:eastAsia="pt-BR"/>
        </w:rPr>
        <w:t>plurality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powers</w:t>
      </w:r>
      <w:proofErr w:type="spellEnd"/>
      <w:r w:rsidR="00F44328" w:rsidRPr="00F44328">
        <w:rPr>
          <w:rFonts w:ascii="Arial" w:eastAsia="Times New Roman" w:hAnsi="Arial" w:cs="Arial"/>
          <w:color w:val="000000"/>
          <w:sz w:val="24"/>
          <w:szCs w:val="24"/>
          <w:lang w:eastAsia="pt-BR"/>
        </w:rPr>
        <w:t>—</w:t>
      </w:r>
      <w:proofErr w:type="spellStart"/>
      <w:r w:rsidR="00F44328" w:rsidRPr="00F44328">
        <w:rPr>
          <w:rFonts w:ascii="Arial" w:eastAsia="Times New Roman" w:hAnsi="Arial" w:cs="Arial"/>
          <w:color w:val="000000"/>
          <w:sz w:val="24"/>
          <w:szCs w:val="24"/>
          <w:lang w:eastAsia="pt-BR"/>
        </w:rPr>
        <w:t>not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solely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State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w:t>
      </w:r>
      <w:proofErr w:type="spellEnd"/>
      <w:r w:rsidR="00F44328" w:rsidRPr="00F44328">
        <w:rPr>
          <w:rFonts w:ascii="Arial" w:eastAsia="Times New Roman" w:hAnsi="Arial" w:cs="Arial"/>
          <w:color w:val="000000"/>
          <w:sz w:val="24"/>
          <w:szCs w:val="24"/>
          <w:lang w:eastAsia="pt-BR"/>
        </w:rPr>
        <w:t>—</w:t>
      </w:r>
      <w:proofErr w:type="spellStart"/>
      <w:r w:rsidR="00F44328" w:rsidRPr="00F44328">
        <w:rPr>
          <w:rFonts w:ascii="Arial" w:eastAsia="Times New Roman" w:hAnsi="Arial" w:cs="Arial"/>
          <w:color w:val="000000"/>
          <w:sz w:val="24"/>
          <w:szCs w:val="24"/>
          <w:lang w:eastAsia="pt-BR"/>
        </w:rPr>
        <w:t>characterized</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not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by</w:t>
      </w:r>
      <w:proofErr w:type="spellEnd"/>
      <w:r w:rsidR="00F44328" w:rsidRPr="00F44328">
        <w:rPr>
          <w:rFonts w:ascii="Arial" w:eastAsia="Times New Roman" w:hAnsi="Arial" w:cs="Arial"/>
          <w:color w:val="000000"/>
          <w:sz w:val="24"/>
          <w:szCs w:val="24"/>
          <w:lang w:eastAsia="pt-BR"/>
        </w:rPr>
        <w:t xml:space="preserve"> a </w:t>
      </w:r>
      <w:proofErr w:type="spellStart"/>
      <w:r w:rsidR="00F44328" w:rsidRPr="00F44328">
        <w:rPr>
          <w:rFonts w:ascii="Arial" w:eastAsia="Times New Roman" w:hAnsi="Arial" w:cs="Arial"/>
          <w:color w:val="000000"/>
          <w:sz w:val="24"/>
          <w:szCs w:val="24"/>
          <w:lang w:eastAsia="pt-BR"/>
        </w:rPr>
        <w:t>dynamic</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unity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but</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by</w:t>
      </w:r>
      <w:proofErr w:type="spellEnd"/>
      <w:r w:rsidR="00F44328" w:rsidRPr="00F44328">
        <w:rPr>
          <w:rFonts w:ascii="Arial" w:eastAsia="Times New Roman" w:hAnsi="Arial" w:cs="Arial"/>
          <w:color w:val="000000"/>
          <w:sz w:val="24"/>
          <w:szCs w:val="24"/>
          <w:lang w:eastAsia="pt-BR"/>
        </w:rPr>
        <w:t xml:space="preserve"> a </w:t>
      </w:r>
      <w:proofErr w:type="spellStart"/>
      <w:r w:rsidR="00F44328" w:rsidRPr="00F44328">
        <w:rPr>
          <w:rFonts w:ascii="Arial" w:eastAsia="Times New Roman" w:hAnsi="Arial" w:cs="Arial"/>
          <w:color w:val="000000"/>
          <w:sz w:val="24"/>
          <w:szCs w:val="24"/>
          <w:lang w:eastAsia="pt-BR"/>
        </w:rPr>
        <w:t>mode</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operation</w:t>
      </w:r>
      <w:proofErr w:type="spellEnd"/>
      <w:r w:rsidR="00F44328" w:rsidRPr="00F44328">
        <w:rPr>
          <w:rFonts w:ascii="Arial" w:eastAsia="Times New Roman" w:hAnsi="Arial" w:cs="Arial"/>
          <w:color w:val="000000"/>
          <w:sz w:val="24"/>
          <w:szCs w:val="24"/>
          <w:lang w:eastAsia="pt-BR"/>
        </w:rPr>
        <w:t xml:space="preserve"> in </w:t>
      </w:r>
      <w:proofErr w:type="spellStart"/>
      <w:r w:rsidR="00F44328" w:rsidRPr="00F44328">
        <w:rPr>
          <w:rFonts w:ascii="Arial" w:eastAsia="Times New Roman" w:hAnsi="Arial" w:cs="Arial"/>
          <w:color w:val="000000"/>
          <w:sz w:val="24"/>
          <w:szCs w:val="24"/>
          <w:lang w:eastAsia="pt-BR"/>
        </w:rPr>
        <w:t>which</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society</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functions</w:t>
      </w:r>
      <w:proofErr w:type="spellEnd"/>
      <w:r w:rsidR="00F44328" w:rsidRPr="00F44328">
        <w:rPr>
          <w:rFonts w:ascii="Arial" w:eastAsia="Times New Roman" w:hAnsi="Arial" w:cs="Arial"/>
          <w:color w:val="000000"/>
          <w:sz w:val="24"/>
          <w:szCs w:val="24"/>
          <w:lang w:eastAsia="pt-BR"/>
        </w:rPr>
        <w:t xml:space="preserve"> as </w:t>
      </w:r>
      <w:proofErr w:type="spellStart"/>
      <w:r w:rsidR="00F44328" w:rsidRPr="00F44328">
        <w:rPr>
          <w:rFonts w:ascii="Arial" w:eastAsia="Times New Roman" w:hAnsi="Arial" w:cs="Arial"/>
          <w:color w:val="000000"/>
          <w:sz w:val="24"/>
          <w:szCs w:val="24"/>
          <w:lang w:eastAsia="pt-BR"/>
        </w:rPr>
        <w:t>an</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archipelago</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of</w:t>
      </w:r>
      <w:proofErr w:type="spellEnd"/>
      <w:r w:rsidR="00F44328" w:rsidRPr="00F44328">
        <w:rPr>
          <w:rFonts w:ascii="Arial" w:eastAsia="Times New Roman" w:hAnsi="Arial" w:cs="Arial"/>
          <w:color w:val="000000"/>
          <w:sz w:val="24"/>
          <w:szCs w:val="24"/>
          <w:lang w:eastAsia="pt-BR"/>
        </w:rPr>
        <w:t xml:space="preserve"> </w:t>
      </w:r>
      <w:proofErr w:type="spellStart"/>
      <w:r w:rsidR="00F44328" w:rsidRPr="00F44328">
        <w:rPr>
          <w:rFonts w:ascii="Arial" w:eastAsia="Times New Roman" w:hAnsi="Arial" w:cs="Arial"/>
          <w:color w:val="000000"/>
          <w:sz w:val="24"/>
          <w:szCs w:val="24"/>
          <w:lang w:eastAsia="pt-BR"/>
        </w:rPr>
        <w:t>powers</w:t>
      </w:r>
      <w:proofErr w:type="spellEnd"/>
      <w:r w:rsidR="00F44328" w:rsidRPr="00F44328">
        <w:rPr>
          <w:rFonts w:ascii="Arial" w:eastAsia="Times New Roman" w:hAnsi="Arial" w:cs="Arial"/>
          <w:color w:val="000000"/>
          <w:sz w:val="24"/>
          <w:szCs w:val="24"/>
          <w:lang w:eastAsia="pt-BR"/>
        </w:rPr>
        <w:t>.</w:t>
      </w:r>
    </w:p>
    <w:p w14:paraId="7B9BB6BF" w14:textId="22D5BFD6" w:rsidR="00026B5B" w:rsidRPr="00D40A53" w:rsidRDefault="00F44328" w:rsidP="00F44328">
      <w:pPr>
        <w:shd w:val="clear" w:color="auto" w:fill="FFFFFF"/>
        <w:spacing w:after="0"/>
        <w:jc w:val="both"/>
        <w:rPr>
          <w:rFonts w:ascii="Arial" w:eastAsia="Times New Roman" w:hAnsi="Arial" w:cs="Arial"/>
          <w:color w:val="000000"/>
          <w:sz w:val="24"/>
          <w:szCs w:val="24"/>
          <w:lang w:eastAsia="pt-BR"/>
        </w:rPr>
      </w:pPr>
      <w:r w:rsidRPr="00F44328">
        <w:rPr>
          <w:rFonts w:ascii="Arial" w:eastAsia="Times New Roman" w:hAnsi="Arial" w:cs="Arial"/>
          <w:b/>
          <w:bCs/>
          <w:color w:val="000000"/>
          <w:sz w:val="24"/>
          <w:szCs w:val="24"/>
          <w:lang w:eastAsia="pt-BR"/>
        </w:rPr>
        <w:t xml:space="preserve">Keywords: </w:t>
      </w:r>
      <w:proofErr w:type="spellStart"/>
      <w:r w:rsidRPr="00F44328">
        <w:rPr>
          <w:rFonts w:ascii="Arial" w:eastAsia="Times New Roman" w:hAnsi="Arial" w:cs="Arial"/>
          <w:color w:val="000000"/>
          <w:sz w:val="24"/>
          <w:szCs w:val="24"/>
          <w:lang w:eastAsia="pt-BR"/>
        </w:rPr>
        <w:t>Biopower</w:t>
      </w:r>
      <w:proofErr w:type="spellEnd"/>
      <w:r w:rsidRPr="00F44328">
        <w:rPr>
          <w:rFonts w:ascii="Arial" w:eastAsia="Times New Roman" w:hAnsi="Arial" w:cs="Arial"/>
          <w:color w:val="000000"/>
          <w:sz w:val="24"/>
          <w:szCs w:val="24"/>
          <w:lang w:eastAsia="pt-BR"/>
        </w:rPr>
        <w:t xml:space="preserve">, </w:t>
      </w:r>
      <w:proofErr w:type="spellStart"/>
      <w:r w:rsidRPr="00F44328">
        <w:rPr>
          <w:rFonts w:ascii="Arial" w:eastAsia="Times New Roman" w:hAnsi="Arial" w:cs="Arial"/>
          <w:color w:val="000000"/>
          <w:sz w:val="24"/>
          <w:szCs w:val="24"/>
          <w:lang w:eastAsia="pt-BR"/>
        </w:rPr>
        <w:t>law</w:t>
      </w:r>
      <w:proofErr w:type="spellEnd"/>
      <w:r w:rsidRPr="00F44328">
        <w:rPr>
          <w:rFonts w:ascii="Arial" w:eastAsia="Times New Roman" w:hAnsi="Arial" w:cs="Arial"/>
          <w:color w:val="000000"/>
          <w:sz w:val="24"/>
          <w:szCs w:val="24"/>
          <w:lang w:eastAsia="pt-BR"/>
        </w:rPr>
        <w:t xml:space="preserve">, </w:t>
      </w:r>
      <w:proofErr w:type="spellStart"/>
      <w:r w:rsidRPr="00F44328">
        <w:rPr>
          <w:rFonts w:ascii="Arial" w:eastAsia="Times New Roman" w:hAnsi="Arial" w:cs="Arial"/>
          <w:color w:val="000000"/>
          <w:sz w:val="24"/>
          <w:szCs w:val="24"/>
          <w:lang w:eastAsia="pt-BR"/>
        </w:rPr>
        <w:t>exercise</w:t>
      </w:r>
      <w:proofErr w:type="spellEnd"/>
      <w:r w:rsidRPr="00F44328">
        <w:rPr>
          <w:rFonts w:ascii="Arial" w:eastAsia="Times New Roman" w:hAnsi="Arial" w:cs="Arial"/>
          <w:color w:val="000000"/>
          <w:sz w:val="24"/>
          <w:szCs w:val="24"/>
          <w:lang w:eastAsia="pt-BR"/>
        </w:rPr>
        <w:t xml:space="preserve"> </w:t>
      </w:r>
      <w:proofErr w:type="spellStart"/>
      <w:r w:rsidRPr="00F44328">
        <w:rPr>
          <w:rFonts w:ascii="Arial" w:eastAsia="Times New Roman" w:hAnsi="Arial" w:cs="Arial"/>
          <w:color w:val="000000"/>
          <w:sz w:val="24"/>
          <w:szCs w:val="24"/>
          <w:lang w:eastAsia="pt-BR"/>
        </w:rPr>
        <w:t>of</w:t>
      </w:r>
      <w:proofErr w:type="spellEnd"/>
      <w:r w:rsidRPr="00F44328">
        <w:rPr>
          <w:rFonts w:ascii="Arial" w:eastAsia="Times New Roman" w:hAnsi="Arial" w:cs="Arial"/>
          <w:color w:val="000000"/>
          <w:sz w:val="24"/>
          <w:szCs w:val="24"/>
          <w:lang w:eastAsia="pt-BR"/>
        </w:rPr>
        <w:t xml:space="preserve"> </w:t>
      </w:r>
      <w:proofErr w:type="spellStart"/>
      <w:r w:rsidRPr="00F44328">
        <w:rPr>
          <w:rFonts w:ascii="Arial" w:eastAsia="Times New Roman" w:hAnsi="Arial" w:cs="Arial"/>
          <w:color w:val="000000"/>
          <w:sz w:val="24"/>
          <w:szCs w:val="24"/>
          <w:lang w:eastAsia="pt-BR"/>
        </w:rPr>
        <w:t>power</w:t>
      </w:r>
      <w:proofErr w:type="spellEnd"/>
      <w:r w:rsidRPr="00F44328">
        <w:rPr>
          <w:rFonts w:ascii="Arial" w:eastAsia="Times New Roman" w:hAnsi="Arial" w:cs="Arial"/>
          <w:color w:val="000000"/>
          <w:sz w:val="24"/>
          <w:szCs w:val="24"/>
          <w:lang w:eastAsia="pt-BR"/>
        </w:rPr>
        <w:t xml:space="preserve"> as a network, </w:t>
      </w:r>
      <w:proofErr w:type="spellStart"/>
      <w:r w:rsidRPr="00F44328">
        <w:rPr>
          <w:rFonts w:ascii="Arial" w:eastAsia="Times New Roman" w:hAnsi="Arial" w:cs="Arial"/>
          <w:color w:val="000000"/>
          <w:sz w:val="24"/>
          <w:szCs w:val="24"/>
          <w:lang w:eastAsia="pt-BR"/>
        </w:rPr>
        <w:t>mesh</w:t>
      </w:r>
      <w:proofErr w:type="spellEnd"/>
      <w:r w:rsidRPr="00F44328">
        <w:rPr>
          <w:rFonts w:ascii="Arial" w:eastAsia="Times New Roman" w:hAnsi="Arial" w:cs="Arial"/>
          <w:color w:val="000000"/>
          <w:sz w:val="24"/>
          <w:szCs w:val="24"/>
          <w:lang w:eastAsia="pt-BR"/>
        </w:rPr>
        <w:t xml:space="preserve"> </w:t>
      </w:r>
      <w:proofErr w:type="spellStart"/>
      <w:r w:rsidRPr="00F44328">
        <w:rPr>
          <w:rFonts w:ascii="Arial" w:eastAsia="Times New Roman" w:hAnsi="Arial" w:cs="Arial"/>
          <w:color w:val="000000"/>
          <w:sz w:val="24"/>
          <w:szCs w:val="24"/>
          <w:lang w:eastAsia="pt-BR"/>
        </w:rPr>
        <w:t>of</w:t>
      </w:r>
      <w:proofErr w:type="spellEnd"/>
      <w:r w:rsidRPr="00F44328">
        <w:rPr>
          <w:rFonts w:ascii="Arial" w:eastAsia="Times New Roman" w:hAnsi="Arial" w:cs="Arial"/>
          <w:color w:val="000000"/>
          <w:sz w:val="24"/>
          <w:szCs w:val="24"/>
          <w:lang w:eastAsia="pt-BR"/>
        </w:rPr>
        <w:t xml:space="preserve"> </w:t>
      </w:r>
      <w:proofErr w:type="spellStart"/>
      <w:r w:rsidRPr="00F44328">
        <w:rPr>
          <w:rFonts w:ascii="Arial" w:eastAsia="Times New Roman" w:hAnsi="Arial" w:cs="Arial"/>
          <w:color w:val="000000"/>
          <w:sz w:val="24"/>
          <w:szCs w:val="24"/>
          <w:lang w:eastAsia="pt-BR"/>
        </w:rPr>
        <w:t>power</w:t>
      </w:r>
      <w:proofErr w:type="spellEnd"/>
      <w:r w:rsidRPr="00F44328">
        <w:rPr>
          <w:rFonts w:ascii="Arial" w:eastAsia="Times New Roman" w:hAnsi="Arial" w:cs="Arial"/>
          <w:color w:val="000000"/>
          <w:sz w:val="24"/>
          <w:szCs w:val="24"/>
          <w:lang w:eastAsia="pt-BR"/>
        </w:rPr>
        <w:t xml:space="preserve">, </w:t>
      </w:r>
      <w:proofErr w:type="spellStart"/>
      <w:r w:rsidRPr="00F44328">
        <w:rPr>
          <w:rFonts w:ascii="Arial" w:eastAsia="Times New Roman" w:hAnsi="Arial" w:cs="Arial"/>
          <w:color w:val="000000"/>
          <w:sz w:val="24"/>
          <w:szCs w:val="24"/>
          <w:lang w:eastAsia="pt-BR"/>
        </w:rPr>
        <w:t>production</w:t>
      </w:r>
      <w:proofErr w:type="spellEnd"/>
      <w:r w:rsidRPr="00F44328">
        <w:rPr>
          <w:rFonts w:ascii="Arial" w:eastAsia="Times New Roman" w:hAnsi="Arial" w:cs="Arial"/>
          <w:color w:val="000000"/>
          <w:sz w:val="24"/>
          <w:szCs w:val="24"/>
          <w:lang w:eastAsia="pt-BR"/>
        </w:rPr>
        <w:t>.</w:t>
      </w:r>
    </w:p>
    <w:p w14:paraId="58A5F2DE" w14:textId="77777777" w:rsidR="00D40A53" w:rsidRPr="00D40A53" w:rsidRDefault="00D40A53" w:rsidP="002C413A">
      <w:pPr>
        <w:spacing w:after="0" w:line="360" w:lineRule="auto"/>
        <w:jc w:val="both"/>
        <w:rPr>
          <w:rFonts w:ascii="Arial" w:hAnsi="Arial" w:cs="Arial"/>
          <w:sz w:val="24"/>
          <w:szCs w:val="24"/>
        </w:rPr>
      </w:pPr>
    </w:p>
    <w:p w14:paraId="38F61AD3" w14:textId="36EA0E93" w:rsidR="002C413A" w:rsidRDefault="00FC53A2" w:rsidP="00FC53A2">
      <w:pPr>
        <w:pStyle w:val="PargrafodaLista"/>
        <w:numPr>
          <w:ilvl w:val="0"/>
          <w:numId w:val="39"/>
        </w:numPr>
        <w:spacing w:after="0" w:line="360" w:lineRule="auto"/>
        <w:jc w:val="both"/>
        <w:rPr>
          <w:rFonts w:ascii="Arial" w:hAnsi="Arial" w:cs="Arial"/>
          <w:b/>
          <w:bCs/>
          <w:sz w:val="24"/>
          <w:szCs w:val="24"/>
          <w:lang w:val="en-US"/>
        </w:rPr>
      </w:pPr>
      <w:r w:rsidRPr="00FC53A2">
        <w:rPr>
          <w:rFonts w:ascii="Arial" w:hAnsi="Arial" w:cs="Arial"/>
          <w:b/>
          <w:bCs/>
          <w:sz w:val="24"/>
          <w:szCs w:val="24"/>
          <w:lang w:val="en-US"/>
        </w:rPr>
        <w:t>INTR</w:t>
      </w:r>
      <w:r w:rsidR="00A74222">
        <w:rPr>
          <w:rFonts w:ascii="Arial" w:hAnsi="Arial" w:cs="Arial"/>
          <w:b/>
          <w:bCs/>
          <w:sz w:val="24"/>
          <w:szCs w:val="24"/>
          <w:lang w:val="en-US"/>
        </w:rPr>
        <w:t>ODUÇÃO</w:t>
      </w:r>
    </w:p>
    <w:p w14:paraId="4A5BBF86" w14:textId="77777777" w:rsidR="00B55E31" w:rsidRDefault="00B55E31" w:rsidP="00886D02">
      <w:pPr>
        <w:spacing w:after="0" w:line="360" w:lineRule="auto"/>
        <w:jc w:val="both"/>
        <w:rPr>
          <w:rFonts w:ascii="Arial" w:hAnsi="Arial" w:cs="Arial"/>
          <w:sz w:val="24"/>
          <w:szCs w:val="24"/>
        </w:rPr>
      </w:pPr>
    </w:p>
    <w:p w14:paraId="4C501795" w14:textId="77777777" w:rsidR="00F44328" w:rsidRDefault="00F44328" w:rsidP="00F44328">
      <w:pPr>
        <w:spacing w:after="0" w:line="360" w:lineRule="auto"/>
        <w:ind w:firstLine="851"/>
        <w:jc w:val="both"/>
        <w:rPr>
          <w:rFonts w:ascii="Arial" w:eastAsia="Times New Roman" w:hAnsi="Arial" w:cs="Arial"/>
          <w:sz w:val="24"/>
          <w:szCs w:val="24"/>
        </w:rPr>
      </w:pPr>
      <w:r w:rsidRPr="00F44328">
        <w:rPr>
          <w:rFonts w:ascii="Arial" w:eastAsia="Times New Roman" w:hAnsi="Arial" w:cs="Arial"/>
          <w:sz w:val="24"/>
          <w:szCs w:val="24"/>
        </w:rPr>
        <w:t xml:space="preserve">A teoria do poder enquanto exercício em rede, enquanto referencial teórico do pensamento de Michael Foucault serve para repensar não apenas o </w:t>
      </w:r>
      <w:r w:rsidRPr="00F44328">
        <w:rPr>
          <w:rFonts w:ascii="Arial" w:eastAsia="Times New Roman" w:hAnsi="Arial" w:cs="Arial"/>
          <w:sz w:val="24"/>
          <w:szCs w:val="24"/>
        </w:rPr>
        <w:lastRenderedPageBreak/>
        <w:t xml:space="preserve">sistema penal de controle e as suas formas punitivas, mas também sua arqueologia do saber que envolve a história da loucura, a sexualidade, a medicina, o comportamento desviante, cuja análise buscam compreender as múltiplas formas de exercício do poder, para além dos muros do Estado. </w:t>
      </w:r>
    </w:p>
    <w:p w14:paraId="4681DBEB" w14:textId="77777777" w:rsidR="00F44328" w:rsidRDefault="00F44328" w:rsidP="00F44328">
      <w:pPr>
        <w:spacing w:after="0" w:line="360" w:lineRule="auto"/>
        <w:ind w:firstLine="851"/>
        <w:jc w:val="both"/>
        <w:rPr>
          <w:rFonts w:ascii="Arial" w:eastAsia="Times New Roman" w:hAnsi="Arial" w:cs="Arial"/>
          <w:sz w:val="24"/>
          <w:szCs w:val="24"/>
        </w:rPr>
      </w:pPr>
      <w:r w:rsidRPr="00F44328">
        <w:rPr>
          <w:rFonts w:ascii="Arial" w:eastAsia="Times New Roman" w:hAnsi="Arial" w:cs="Arial"/>
          <w:color w:val="000000"/>
          <w:sz w:val="24"/>
          <w:szCs w:val="24"/>
          <w:highlight w:val="white"/>
        </w:rPr>
        <w:t xml:space="preserve">Sendo assim, os caminhos pela teoria foucaultiana oferecem uma plataforma ampla de compreensão, inclusive do direito, avançando seus estudos acerca dos mecanismos de poder, não apenas aqueles mais clássicos de conhecimento da sociologia e da filosofia (o Estado, as instituições jurídicas e o poder militar), mas as manifestações ocorridas no tecido social em sua multiplicidade de formas. </w:t>
      </w:r>
    </w:p>
    <w:p w14:paraId="12650277" w14:textId="77777777" w:rsidR="00F44328" w:rsidRDefault="00F44328" w:rsidP="00F44328">
      <w:pPr>
        <w:spacing w:after="0" w:line="360" w:lineRule="auto"/>
        <w:ind w:firstLine="851"/>
        <w:jc w:val="both"/>
        <w:rPr>
          <w:rFonts w:ascii="Arial" w:eastAsia="Times New Roman" w:hAnsi="Arial" w:cs="Arial"/>
          <w:sz w:val="24"/>
          <w:szCs w:val="24"/>
        </w:rPr>
      </w:pPr>
      <w:r w:rsidRPr="00F44328">
        <w:rPr>
          <w:rFonts w:ascii="Arial" w:eastAsia="Times New Roman" w:hAnsi="Arial" w:cs="Arial"/>
          <w:color w:val="000000"/>
          <w:sz w:val="24"/>
          <w:szCs w:val="24"/>
          <w:highlight w:val="white"/>
        </w:rPr>
        <w:t>Portanto, o poder não e uma manifestação institucional e formal, mas busca alcançar os corpos, os gestos, o controle das atitudes, no mundo da vida, surgindo a expressão de Foucault, denominada de Biopoder (controle da sexualidade) e internalizado, perpassa pelos sujeitos, como elemento indispensável ao desenvolvimento do capitalismo e o ajustamento da população aos processos econômicos</w:t>
      </w:r>
      <w:r w:rsidRPr="0040766B">
        <w:rPr>
          <w:highlight w:val="white"/>
          <w:vertAlign w:val="superscript"/>
        </w:rPr>
        <w:footnoteReference w:id="3"/>
      </w:r>
      <w:r w:rsidRPr="00F44328">
        <w:rPr>
          <w:rFonts w:ascii="Arial" w:eastAsia="Times New Roman" w:hAnsi="Arial" w:cs="Arial"/>
          <w:color w:val="000000"/>
          <w:sz w:val="24"/>
          <w:szCs w:val="24"/>
          <w:highlight w:val="white"/>
        </w:rPr>
        <w:t>, atendendo a necessidade/utilidade para manutenção das relações de produção em todos os domínios da vida (escola, prisões, fábricas, família, policia, medicina).</w:t>
      </w:r>
    </w:p>
    <w:p w14:paraId="025FAA43" w14:textId="77777777" w:rsidR="00F44328" w:rsidRDefault="00F44328" w:rsidP="00F44328">
      <w:pPr>
        <w:spacing w:after="0" w:line="360" w:lineRule="auto"/>
        <w:ind w:firstLine="851"/>
        <w:jc w:val="both"/>
        <w:rPr>
          <w:rFonts w:ascii="Arial" w:eastAsia="Times New Roman" w:hAnsi="Arial" w:cs="Arial"/>
          <w:sz w:val="24"/>
          <w:szCs w:val="24"/>
        </w:rPr>
      </w:pPr>
      <w:r w:rsidRPr="00F44328">
        <w:rPr>
          <w:rFonts w:ascii="Arial" w:eastAsia="Times New Roman" w:hAnsi="Arial" w:cs="Arial"/>
          <w:color w:val="000000"/>
          <w:sz w:val="24"/>
          <w:szCs w:val="24"/>
          <w:highlight w:val="white"/>
        </w:rPr>
        <w:t>A genealogia</w:t>
      </w:r>
      <w:r w:rsidRPr="0040766B">
        <w:rPr>
          <w:highlight w:val="white"/>
          <w:vertAlign w:val="superscript"/>
        </w:rPr>
        <w:footnoteReference w:id="4"/>
      </w:r>
      <w:r w:rsidRPr="00F44328">
        <w:rPr>
          <w:rFonts w:ascii="Arial" w:eastAsia="Times New Roman" w:hAnsi="Arial" w:cs="Arial"/>
          <w:color w:val="000000"/>
          <w:sz w:val="24"/>
          <w:szCs w:val="24"/>
          <w:highlight w:val="white"/>
        </w:rPr>
        <w:t xml:space="preserve"> desenvolvida por Foucault procura desnudar a maneira como os discursos se investem em instituições diversas, balizando práticas extras discursivas que informam o exercício do poder, no âmbito do saber, em especial, a natureza política. Poder não seria algo natural, mas uma prática social e histórica, manifestando-se não apenas no poder estatal, mas nas suas manifestações periféricas, em suas formas locais, de forma capilar e microfísica (técnica)</w:t>
      </w:r>
      <w:r w:rsidRPr="0040766B">
        <w:rPr>
          <w:highlight w:val="white"/>
          <w:vertAlign w:val="superscript"/>
        </w:rPr>
        <w:footnoteReference w:id="5"/>
      </w:r>
      <w:r w:rsidRPr="00F44328">
        <w:rPr>
          <w:rFonts w:ascii="Arial" w:eastAsia="Times New Roman" w:hAnsi="Arial" w:cs="Arial"/>
          <w:color w:val="000000"/>
          <w:sz w:val="24"/>
          <w:szCs w:val="24"/>
          <w:highlight w:val="white"/>
        </w:rPr>
        <w:t>.</w:t>
      </w:r>
    </w:p>
    <w:p w14:paraId="5221A9E7" w14:textId="77777777" w:rsidR="00F44328" w:rsidRDefault="00F44328" w:rsidP="00F44328">
      <w:pPr>
        <w:spacing w:after="0" w:line="360" w:lineRule="auto"/>
        <w:ind w:firstLine="851"/>
        <w:jc w:val="both"/>
        <w:rPr>
          <w:rFonts w:ascii="Arial" w:eastAsia="Times New Roman" w:hAnsi="Arial" w:cs="Arial"/>
          <w:sz w:val="24"/>
          <w:szCs w:val="24"/>
        </w:rPr>
      </w:pPr>
      <w:r w:rsidRPr="00F44328">
        <w:rPr>
          <w:rFonts w:ascii="Arial" w:eastAsia="Times New Roman" w:hAnsi="Arial" w:cs="Arial"/>
          <w:sz w:val="24"/>
          <w:szCs w:val="24"/>
        </w:rPr>
        <w:lastRenderedPageBreak/>
        <w:t>A problemática desse artigo parte das perguntas do autor: refletir o poder sobre a sociedade, sobre a maneira de como o poder se exerce nela, o fazemos partir de uma concepção jurídica: onde está o poder, quem o detém, quais são as regras que regem o poder, qual o sistema de leis estabelecido pelo poder sobre o corpo social.</w:t>
      </w:r>
    </w:p>
    <w:p w14:paraId="36A181F6" w14:textId="77777777" w:rsidR="00F44328" w:rsidRDefault="00F44328" w:rsidP="00F44328">
      <w:pPr>
        <w:spacing w:after="0" w:line="360" w:lineRule="auto"/>
        <w:ind w:firstLine="851"/>
        <w:jc w:val="both"/>
        <w:rPr>
          <w:rFonts w:ascii="Arial" w:eastAsia="Times New Roman" w:hAnsi="Arial" w:cs="Arial"/>
          <w:sz w:val="24"/>
          <w:szCs w:val="24"/>
        </w:rPr>
      </w:pPr>
      <w:r w:rsidRPr="00F44328">
        <w:rPr>
          <w:rFonts w:ascii="Arial" w:eastAsia="Times New Roman" w:hAnsi="Arial" w:cs="Arial"/>
          <w:sz w:val="24"/>
          <w:szCs w:val="24"/>
        </w:rPr>
        <w:t>O objetivo do trabalho é analisar, como resposta a pergunta, a teoria que Foucault denomina de Sociologia Jurídica do Poder (Tecnologia do Poder), no texto apresentado a Universidade Federal da Bahia (1981), intitulado “As Malhas do Poder”. Nesse manuscrito, o autor apresenta uma proposta de construção de uma filosofia política e jurídica do poder</w:t>
      </w:r>
      <w:r w:rsidRPr="0040766B">
        <w:rPr>
          <w:vertAlign w:val="superscript"/>
        </w:rPr>
        <w:footnoteReference w:id="6"/>
      </w:r>
      <w:r w:rsidRPr="00F44328">
        <w:rPr>
          <w:rFonts w:ascii="Arial" w:eastAsia="Times New Roman" w:hAnsi="Arial" w:cs="Arial"/>
          <w:sz w:val="24"/>
          <w:szCs w:val="24"/>
        </w:rPr>
        <w:t xml:space="preserve"> enquanto etnologia da regra (através da proibição da lei, regra e lima, numa dimensão léxica que conduz a uma leitura acerca da concepção de poder e o funcionamento das malhas do poder (localização do poder, sua forma reprodutiva e o seu exercício em rede). </w:t>
      </w:r>
    </w:p>
    <w:p w14:paraId="39C4902E" w14:textId="77777777" w:rsidR="00F44328" w:rsidRDefault="00F44328" w:rsidP="00F44328">
      <w:pPr>
        <w:spacing w:after="0" w:line="360" w:lineRule="auto"/>
        <w:ind w:firstLine="851"/>
        <w:jc w:val="both"/>
        <w:rPr>
          <w:rFonts w:ascii="Arial" w:eastAsia="Times New Roman" w:hAnsi="Arial" w:cs="Arial"/>
          <w:sz w:val="24"/>
          <w:szCs w:val="24"/>
        </w:rPr>
      </w:pPr>
      <w:r w:rsidRPr="00F44328">
        <w:rPr>
          <w:rFonts w:ascii="Arial" w:eastAsia="Times New Roman" w:hAnsi="Arial" w:cs="Arial"/>
          <w:sz w:val="24"/>
          <w:szCs w:val="24"/>
        </w:rPr>
        <w:t>Considerando que nosso trabalho é de natureza bibliográfica, o método de abordagem a ser adotado no seu desenvolvimento será o dedutivo, tendo pressuposto argumentos gerais, para argumentos particulares; quanto ao procedimento será o histórico crítico, procurando dar tratamento localizado á matéria objeto de estudo, aferindo a literatura sobre o pensamento foucaultiano.</w:t>
      </w:r>
    </w:p>
    <w:p w14:paraId="506A05E4" w14:textId="6D037C4D" w:rsidR="00F44328" w:rsidRPr="00F44328" w:rsidRDefault="00F44328" w:rsidP="00F44328">
      <w:pPr>
        <w:spacing w:after="0" w:line="360" w:lineRule="auto"/>
        <w:ind w:firstLine="851"/>
        <w:jc w:val="both"/>
        <w:rPr>
          <w:rFonts w:ascii="Arial" w:eastAsia="Times New Roman" w:hAnsi="Arial" w:cs="Arial"/>
          <w:sz w:val="24"/>
          <w:szCs w:val="24"/>
        </w:rPr>
      </w:pPr>
      <w:r w:rsidRPr="00F44328">
        <w:rPr>
          <w:rFonts w:ascii="Arial" w:eastAsia="Times New Roman" w:hAnsi="Arial" w:cs="Arial"/>
          <w:sz w:val="24"/>
          <w:szCs w:val="24"/>
        </w:rPr>
        <w:t xml:space="preserve"> </w:t>
      </w:r>
    </w:p>
    <w:p w14:paraId="5A24609E" w14:textId="2C1B704F" w:rsidR="002C413A" w:rsidRPr="00FC53A2" w:rsidRDefault="00F44328" w:rsidP="00F44328">
      <w:pPr>
        <w:pStyle w:val="PargrafodaLista"/>
        <w:numPr>
          <w:ilvl w:val="0"/>
          <w:numId w:val="39"/>
        </w:numPr>
        <w:spacing w:after="0" w:line="360" w:lineRule="auto"/>
        <w:jc w:val="both"/>
        <w:rPr>
          <w:rFonts w:ascii="Arial" w:hAnsi="Arial" w:cs="Arial"/>
          <w:b/>
          <w:bCs/>
          <w:color w:val="8496B0" w:themeColor="text2" w:themeTint="99"/>
          <w:sz w:val="24"/>
          <w:szCs w:val="24"/>
          <w:lang w:val="en-US"/>
        </w:rPr>
      </w:pPr>
      <w:r w:rsidRPr="0040766B">
        <w:rPr>
          <w:rFonts w:ascii="Arial" w:eastAsia="Times New Roman" w:hAnsi="Arial" w:cs="Arial"/>
          <w:b/>
          <w:bCs/>
          <w:color w:val="000000"/>
          <w:sz w:val="24"/>
          <w:szCs w:val="24"/>
        </w:rPr>
        <w:t>MICHEL FOUCAULT: UMA BREVE INTRODUÇÃO</w:t>
      </w:r>
      <w:r w:rsidRPr="00FC53A2">
        <w:rPr>
          <w:rFonts w:ascii="Arial" w:hAnsi="Arial" w:cs="Arial"/>
          <w:b/>
          <w:bCs/>
          <w:sz w:val="24"/>
          <w:szCs w:val="24"/>
          <w:lang w:val="en-US"/>
        </w:rPr>
        <w:t xml:space="preserve"> </w:t>
      </w:r>
    </w:p>
    <w:p w14:paraId="111AB940" w14:textId="0CE53731" w:rsidR="002C413A" w:rsidRDefault="002C413A" w:rsidP="00F44328">
      <w:pPr>
        <w:spacing w:after="0" w:line="360" w:lineRule="auto"/>
        <w:jc w:val="both"/>
        <w:rPr>
          <w:rFonts w:ascii="Arial" w:hAnsi="Arial" w:cs="Arial"/>
          <w:sz w:val="24"/>
          <w:szCs w:val="24"/>
          <w:lang w:val="en-US"/>
        </w:rPr>
      </w:pPr>
    </w:p>
    <w:p w14:paraId="25DCD89E"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Michel Foucault (1926-1984) foi um filosofo francês, que exerceu grande influência sobre os intelectuais contemporâneos, conhecido por sua posição contrária ao sistema prisional. Diplomou-se em Psicologia (1949) e Filosofia (1948), lecionando nas universidades francesas e obteve a cátedra com o tema História dos Sistemas de Pensamento no </w:t>
      </w:r>
      <w:proofErr w:type="spellStart"/>
      <w:r w:rsidRPr="0040766B">
        <w:rPr>
          <w:rFonts w:ascii="Arial" w:eastAsia="Times New Roman" w:hAnsi="Arial" w:cs="Arial"/>
          <w:i/>
          <w:iCs/>
          <w:sz w:val="24"/>
          <w:szCs w:val="24"/>
        </w:rPr>
        <w:t>College</w:t>
      </w:r>
      <w:proofErr w:type="spellEnd"/>
      <w:r w:rsidRPr="0040766B">
        <w:rPr>
          <w:rFonts w:ascii="Arial" w:eastAsia="Times New Roman" w:hAnsi="Arial" w:cs="Arial"/>
          <w:i/>
          <w:iCs/>
          <w:sz w:val="24"/>
          <w:szCs w:val="24"/>
        </w:rPr>
        <w:t xml:space="preserve"> de France</w:t>
      </w:r>
      <w:r w:rsidRPr="0040766B">
        <w:rPr>
          <w:rFonts w:ascii="Arial" w:eastAsia="Times New Roman" w:hAnsi="Arial" w:cs="Arial"/>
          <w:sz w:val="24"/>
          <w:szCs w:val="24"/>
        </w:rPr>
        <w:t xml:space="preserve">. Dentre suas obras </w:t>
      </w:r>
      <w:r w:rsidRPr="0040766B">
        <w:rPr>
          <w:rFonts w:ascii="Arial" w:eastAsia="Times New Roman" w:hAnsi="Arial" w:cs="Arial"/>
          <w:sz w:val="24"/>
          <w:szCs w:val="24"/>
        </w:rPr>
        <w:lastRenderedPageBreak/>
        <w:t xml:space="preserve">clássicas, estão a Doença Mental e Personalidade (1954), História da Loucura na Idade Média (1961), tese de doutorado na Sorbonne. Publicou o Nascimento da Clínica (1966), As Palavras e as Coisas e Arqueologia do Saber (1969), Vigiar e Punir: o Nascimento da Prisão (1975) e a História da Sexualidade (1976), o Nascimento da Biopolítica (1978-1979). </w:t>
      </w:r>
    </w:p>
    <w:p w14:paraId="246EF01B"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 xml:space="preserve">Em tempos sombrios de naturalização da violência e dos mecanismos de poder sofisticados, sobretudo, da vigilância, do controle e da disciplina das tecnologias, em que o embrutecimento do pensamento toma protagonismo, orientado pelos auspícios neoliberais, a urgência radical de alguma inteligência disposta a enfrentar a desinteligência natural, conforme colocado pela Ministra Carmen Lúcia, do Supremo Tribunal Federal, requer um ir além dos dogmatismos (esquerda) e do fanatismo </w:t>
      </w:r>
      <w:proofErr w:type="spellStart"/>
      <w:r w:rsidRPr="0040766B">
        <w:rPr>
          <w:rFonts w:ascii="Arial" w:eastAsia="Times New Roman" w:hAnsi="Arial" w:cs="Arial"/>
          <w:sz w:val="24"/>
          <w:szCs w:val="24"/>
        </w:rPr>
        <w:t>tecnopopulista</w:t>
      </w:r>
      <w:proofErr w:type="spellEnd"/>
      <w:r w:rsidRPr="0040766B">
        <w:rPr>
          <w:rFonts w:ascii="Arial" w:eastAsia="Times New Roman" w:hAnsi="Arial" w:cs="Arial"/>
          <w:sz w:val="24"/>
          <w:szCs w:val="24"/>
          <w:vertAlign w:val="superscript"/>
        </w:rPr>
        <w:footnoteReference w:id="7"/>
      </w:r>
      <w:r w:rsidRPr="0040766B">
        <w:rPr>
          <w:rFonts w:ascii="Arial" w:eastAsia="Times New Roman" w:hAnsi="Arial" w:cs="Arial"/>
          <w:sz w:val="24"/>
          <w:szCs w:val="24"/>
        </w:rPr>
        <w:t xml:space="preserve"> mobilizado pelos fascismos das redes sociais, como modo de vida digitalizado pelos termos que se impõe.</w:t>
      </w:r>
    </w:p>
    <w:p w14:paraId="4EFDF2F5"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A normalização da barbárie primitiva historicamente fixada e seus permanentes e violentos desdobramentos necessitam de um pensamento mais agudo e crítico, no campo da sociologia do direito e numa perspectiva jus filosófica do direito contemporâneo não </w:t>
      </w:r>
      <w:proofErr w:type="spellStart"/>
      <w:r w:rsidRPr="0040766B">
        <w:rPr>
          <w:rFonts w:ascii="Arial" w:eastAsia="Times New Roman" w:hAnsi="Arial" w:cs="Arial"/>
          <w:sz w:val="24"/>
          <w:szCs w:val="24"/>
        </w:rPr>
        <w:t>juspostivista</w:t>
      </w:r>
      <w:proofErr w:type="spellEnd"/>
      <w:r w:rsidRPr="0040766B">
        <w:rPr>
          <w:rFonts w:ascii="Arial" w:eastAsia="Times New Roman" w:hAnsi="Arial" w:cs="Arial"/>
          <w:sz w:val="24"/>
          <w:szCs w:val="24"/>
        </w:rPr>
        <w:t xml:space="preserve"> da qual Foucault vem sendo considerado no campo doutrinário, que venha a questionar este estado de crise da tecnologia do poder, assentados inclusive em termos de racionalidade política e jurídica, para compreensão da legitimidade do Estado, do império das leis e da força vinculante das normas jurídicas.</w:t>
      </w:r>
    </w:p>
    <w:p w14:paraId="7F5E6EDA"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bookmarkStart w:id="1" w:name="_v0uz8ypm4hvy" w:colFirst="0" w:colLast="0"/>
      <w:bookmarkEnd w:id="1"/>
      <w:r w:rsidRPr="0040766B">
        <w:rPr>
          <w:rFonts w:ascii="Arial" w:eastAsia="Times New Roman" w:hAnsi="Arial" w:cs="Arial"/>
          <w:sz w:val="24"/>
          <w:szCs w:val="24"/>
        </w:rPr>
        <w:t xml:space="preserve">               O francês Michel Foucault é um pensador da Filosofia e da Sociologia do Direito abordando temas multidisciplinares e interligados no campo da Filosofia, da Psicologia e do Direito a partir de um ângulo diferenciado. Sua obra é importante à medida que compreende questões fenomênicas no universo jurídico e para além dele, no enfrentamento a repressão (antipsiquiatria, reforma </w:t>
      </w:r>
      <w:r w:rsidRPr="0040766B">
        <w:rPr>
          <w:rFonts w:ascii="Arial" w:eastAsia="Times New Roman" w:hAnsi="Arial" w:cs="Arial"/>
          <w:sz w:val="24"/>
          <w:szCs w:val="24"/>
        </w:rPr>
        <w:lastRenderedPageBreak/>
        <w:t>prisional e ativismo gay) e pelo seu comprometimento pessoal pela liberdade e oposição as exclusões normativas que definem nossa sociedade</w:t>
      </w:r>
      <w:r w:rsidRPr="0040766B">
        <w:rPr>
          <w:rFonts w:ascii="Arial" w:eastAsia="Times New Roman" w:hAnsi="Arial" w:cs="Arial"/>
          <w:sz w:val="24"/>
          <w:szCs w:val="24"/>
          <w:vertAlign w:val="superscript"/>
        </w:rPr>
        <w:footnoteReference w:id="8"/>
      </w:r>
      <w:r w:rsidRPr="0040766B">
        <w:rPr>
          <w:rFonts w:ascii="Arial" w:eastAsia="Times New Roman" w:hAnsi="Arial" w:cs="Arial"/>
          <w:sz w:val="24"/>
          <w:szCs w:val="24"/>
        </w:rPr>
        <w:t xml:space="preserve">. </w:t>
      </w:r>
    </w:p>
    <w:p w14:paraId="64CF96D5"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  O ideário Foucaultiano tem seu apogeu nas décadas de 1960, 1970 e 1980 (boa parte desse período tendo lecionado no </w:t>
      </w:r>
      <w:proofErr w:type="spellStart"/>
      <w:r w:rsidRPr="0040766B">
        <w:rPr>
          <w:rFonts w:ascii="Arial" w:eastAsia="Times New Roman" w:hAnsi="Arial" w:cs="Arial"/>
          <w:i/>
          <w:iCs/>
          <w:sz w:val="24"/>
          <w:szCs w:val="24"/>
        </w:rPr>
        <w:t>Collége</w:t>
      </w:r>
      <w:proofErr w:type="spellEnd"/>
      <w:r w:rsidRPr="0040766B">
        <w:rPr>
          <w:rFonts w:ascii="Arial" w:eastAsia="Times New Roman" w:hAnsi="Arial" w:cs="Arial"/>
          <w:i/>
          <w:iCs/>
          <w:sz w:val="24"/>
          <w:szCs w:val="24"/>
        </w:rPr>
        <w:t xml:space="preserve"> de France</w:t>
      </w:r>
      <w:r w:rsidRPr="0040766B">
        <w:rPr>
          <w:rFonts w:ascii="Arial" w:eastAsia="Times New Roman" w:hAnsi="Arial" w:cs="Arial"/>
          <w:sz w:val="24"/>
          <w:szCs w:val="24"/>
        </w:rPr>
        <w:t xml:space="preserve">), em que a compreensão das relações estruturais de poder, seu exercício e dominação, bem como, suas formas de manifestação no campo da sexualidade, da loucura, da medicina, do nascimento da clínica, da psicanálise, das prisões, o direito e dos tribunais. </w:t>
      </w:r>
    </w:p>
    <w:p w14:paraId="0ADA4A1D" w14:textId="77777777" w:rsidR="00F44328" w:rsidRPr="00094B1A" w:rsidRDefault="00F44328" w:rsidP="00F44328">
      <w:pPr>
        <w:tabs>
          <w:tab w:val="left" w:pos="1110"/>
        </w:tabs>
        <w:spacing w:after="0" w:line="240" w:lineRule="auto"/>
        <w:ind w:left="2268"/>
        <w:jc w:val="both"/>
        <w:rPr>
          <w:rFonts w:ascii="Arial" w:eastAsia="Times New Roman" w:hAnsi="Arial" w:cs="Arial"/>
          <w:sz w:val="20"/>
          <w:szCs w:val="20"/>
        </w:rPr>
      </w:pPr>
      <w:r w:rsidRPr="00094B1A">
        <w:rPr>
          <w:rFonts w:ascii="Arial" w:eastAsia="Times New Roman" w:hAnsi="Arial" w:cs="Arial"/>
          <w:sz w:val="20"/>
          <w:szCs w:val="20"/>
        </w:rPr>
        <w:t>De um lócus muito especial, a partir do foco teórico da investigação arqueológica de Michel Foucault, é possível, em nível crítico, considerar uma fecunda discussão de como as práticas jurídicas servem como mecanismo instrumental de “normalização” de comportamentos sociais, unindo-se a outras formas não jurídicas de instrumentação das forças normalizadoras da sociedade disciplinar. Nesta perspectiva, o poder capilar, descentralizado, fluído, amplamente disseminado nas instituições sociais, na família, na escola, nos meios de comunicação, nos mecanismos de consumo, na clínica, na fábrica, se anela aos instrumentos jurídicos repressores para servir ao “amoldamento” ou à “</w:t>
      </w:r>
      <w:proofErr w:type="spellStart"/>
      <w:r w:rsidRPr="00094B1A">
        <w:rPr>
          <w:rFonts w:ascii="Arial" w:eastAsia="Times New Roman" w:hAnsi="Arial" w:cs="Arial"/>
          <w:sz w:val="20"/>
          <w:szCs w:val="20"/>
        </w:rPr>
        <w:t>assujeitação</w:t>
      </w:r>
      <w:proofErr w:type="spellEnd"/>
      <w:r w:rsidRPr="00094B1A">
        <w:rPr>
          <w:rFonts w:ascii="Arial" w:eastAsia="Times New Roman" w:hAnsi="Arial" w:cs="Arial"/>
          <w:sz w:val="20"/>
          <w:szCs w:val="20"/>
        </w:rPr>
        <w:t>” dos indivíduos a modelos confortáveis a práticas dominadoras e disciplinadoras. É esta a revelação trazida pela filosofia foucaultiana, ao adentrar nos arcanos dos processos formadores da sociedade moderna, aquela que prolonga seus efeitos sobre os modos de vida e de comportamento atuais</w:t>
      </w:r>
      <w:r w:rsidRPr="00094B1A">
        <w:rPr>
          <w:rFonts w:ascii="Arial" w:eastAsia="Times New Roman" w:hAnsi="Arial" w:cs="Arial"/>
          <w:sz w:val="20"/>
          <w:szCs w:val="20"/>
          <w:vertAlign w:val="superscript"/>
        </w:rPr>
        <w:footnoteReference w:id="9"/>
      </w:r>
      <w:r w:rsidRPr="00094B1A">
        <w:rPr>
          <w:rFonts w:ascii="Arial" w:eastAsia="Times New Roman" w:hAnsi="Arial" w:cs="Arial"/>
          <w:sz w:val="20"/>
          <w:szCs w:val="20"/>
        </w:rPr>
        <w:t>.</w:t>
      </w:r>
    </w:p>
    <w:p w14:paraId="735A011D" w14:textId="77777777" w:rsidR="00F44328" w:rsidRPr="0040766B" w:rsidRDefault="00F44328" w:rsidP="00F44328">
      <w:pPr>
        <w:tabs>
          <w:tab w:val="left" w:pos="1110"/>
        </w:tabs>
        <w:spacing w:after="0" w:line="240" w:lineRule="auto"/>
        <w:ind w:left="2268"/>
        <w:jc w:val="both"/>
        <w:rPr>
          <w:rFonts w:ascii="Arial" w:eastAsia="Times New Roman" w:hAnsi="Arial" w:cs="Arial"/>
          <w:sz w:val="24"/>
          <w:szCs w:val="24"/>
        </w:rPr>
      </w:pPr>
    </w:p>
    <w:p w14:paraId="5EE9B9C8"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A partir do enunciado descrito acima, parte de uma questão inovadora a ser destacada no pensamento do autor Frances: o poder não é exercido somente pelo Estado, mas outros meios existentes no corpo social.  A legitimidade jurídica não seria o foco central da análise do poder foucaultiana, mas num outro viés, não mais institucional, mas real e concreto, lastreado em práticas efetivas e concretas de dominação em níveis menores da tessitura da sociedade, as quais entrelaçadas geram redes microfísicas e biopolíticas de poder. </w:t>
      </w:r>
    </w:p>
    <w:p w14:paraId="47891E6C"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Na obra a verdade e as formas jurídicas (1970), Foucault já buscava proceder a uma compreensão dos mecanismos de poder, a partir dos exemplos, </w:t>
      </w:r>
      <w:r w:rsidRPr="0040766B">
        <w:rPr>
          <w:rFonts w:ascii="Arial" w:eastAsia="Times New Roman" w:hAnsi="Arial" w:cs="Arial"/>
          <w:sz w:val="24"/>
          <w:szCs w:val="24"/>
        </w:rPr>
        <w:lastRenderedPageBreak/>
        <w:t xml:space="preserve">da loucura, da sexualidade, da criminalidade. O autor chega a conceitos inovadores, como a fixação dos indivíduos em aparelhos de normalização (fábrica, prisão, hospital, a escola), cuja finalidade é tornar o sujeito parte do processo de produção, como forma de controle social do corpo do indivíduo, para torná-los dóceis e úteis. </w:t>
      </w:r>
    </w:p>
    <w:p w14:paraId="7260FD3B"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Em todos esses objetos de estudo, está presente a orientação em busca do entendimento dos mecanismos do poder, dos modos de estabelecimento e funcionamento das divisões, das opressões, das dominações. É por essa razão, segundo o professor Alysson Mascaro, que o pensamento de Foucault é extremamente crítico, assim considerado no campo da Filosofia do direito, bem como, da Sociologia Jurídica</w:t>
      </w:r>
      <w:r w:rsidRPr="0040766B">
        <w:rPr>
          <w:rFonts w:ascii="Arial" w:eastAsia="Times New Roman" w:hAnsi="Arial" w:cs="Arial"/>
          <w:sz w:val="24"/>
          <w:szCs w:val="24"/>
          <w:vertAlign w:val="superscript"/>
        </w:rPr>
        <w:footnoteReference w:id="10"/>
      </w:r>
      <w:r w:rsidRPr="0040766B">
        <w:rPr>
          <w:rFonts w:ascii="Arial" w:eastAsia="Times New Roman" w:hAnsi="Arial" w:cs="Arial"/>
          <w:sz w:val="24"/>
          <w:szCs w:val="24"/>
        </w:rPr>
        <w:t xml:space="preserve">. Em razão disso, é considerado um filósofo considerado como não </w:t>
      </w:r>
      <w:proofErr w:type="spellStart"/>
      <w:r w:rsidRPr="0040766B">
        <w:rPr>
          <w:rFonts w:ascii="Arial" w:eastAsia="Times New Roman" w:hAnsi="Arial" w:cs="Arial"/>
          <w:sz w:val="24"/>
          <w:szCs w:val="24"/>
        </w:rPr>
        <w:t>juspositvista</w:t>
      </w:r>
      <w:proofErr w:type="spellEnd"/>
      <w:r w:rsidRPr="0040766B">
        <w:rPr>
          <w:rFonts w:ascii="Arial" w:eastAsia="Times New Roman" w:hAnsi="Arial" w:cs="Arial"/>
          <w:sz w:val="24"/>
          <w:szCs w:val="24"/>
        </w:rPr>
        <w:t xml:space="preserve">, por pensar o direito além das normas jurídicas. </w:t>
      </w:r>
    </w:p>
    <w:p w14:paraId="0DDFC523"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Sua indagação não é a respeito da harmonia da sociedade, de seu funcionamento contratual, mediante a concordância dos sujeitos. Pelo contrário, é a respeito dos instrumentos e mecanismos da dominação, que estão nas grandes questões políticas e sociais, mas também nos pequenos e quotidianos arranjos do poder, na família, no grupo social, na vizinhança e na escola.  Sendo assim, transcrevem-se as seguintes lições: </w:t>
      </w:r>
    </w:p>
    <w:p w14:paraId="5C9A7733" w14:textId="77777777" w:rsidR="00F44328" w:rsidRPr="00094B1A" w:rsidRDefault="00F44328" w:rsidP="00F44328">
      <w:pPr>
        <w:tabs>
          <w:tab w:val="left" w:pos="1110"/>
        </w:tabs>
        <w:spacing w:after="0" w:line="240" w:lineRule="auto"/>
        <w:ind w:left="2268"/>
        <w:jc w:val="both"/>
        <w:rPr>
          <w:rFonts w:ascii="Arial" w:eastAsia="Times New Roman" w:hAnsi="Arial" w:cs="Arial"/>
          <w:sz w:val="20"/>
          <w:szCs w:val="20"/>
        </w:rPr>
      </w:pPr>
      <w:r w:rsidRPr="00094B1A">
        <w:rPr>
          <w:rFonts w:ascii="Arial" w:eastAsia="Times New Roman" w:hAnsi="Arial" w:cs="Arial"/>
          <w:sz w:val="20"/>
          <w:szCs w:val="20"/>
        </w:rPr>
        <w:t>A época atual, todas essas instituições fábrica, escola, hospital psiquiátrico, hospital, prisão têm por finalidade não excluir, mas, ao contrário, fixar os indivíduos. A fábrica não exclui os indivíduos; liga-os a um aparelho de produção. A escola não exclui os indivíduos; mesmo fechando-os; ela os fixa a um aparelho de transmissão do saber. O hospital psiquiátrico não exclui os indivíduos; liga-os a um aparelho de correção, a um aparelho de normalização dos indivíduos. O mesmo acontece com a casa de correção ou com a prisão. Mesmo se os efeitos dessas instituições são a exclusão do indivíduo, elas têm como finalidade primeira fixar os indivíduos em um aparelho de normalização dos homens. A fábrica, a escola, a prisão ou os hospitais têm por objetivo ligar o indivíduo a um processo de produção, de formação ou de correção dos produtores. Trata-se de garantir a produção ou os produtores em função de uma determinada norma</w:t>
      </w:r>
      <w:r w:rsidRPr="00094B1A">
        <w:rPr>
          <w:rFonts w:ascii="Arial" w:eastAsia="Times New Roman" w:hAnsi="Arial" w:cs="Arial"/>
          <w:sz w:val="20"/>
          <w:szCs w:val="20"/>
          <w:vertAlign w:val="superscript"/>
        </w:rPr>
        <w:footnoteReference w:id="11"/>
      </w:r>
      <w:r w:rsidRPr="00094B1A">
        <w:rPr>
          <w:rFonts w:ascii="Arial" w:eastAsia="Times New Roman" w:hAnsi="Arial" w:cs="Arial"/>
          <w:sz w:val="20"/>
          <w:szCs w:val="20"/>
        </w:rPr>
        <w:t>.</w:t>
      </w:r>
    </w:p>
    <w:p w14:paraId="2CDBD52B" w14:textId="77777777" w:rsidR="00F44328" w:rsidRPr="0040766B" w:rsidRDefault="00F44328" w:rsidP="00F44328">
      <w:pPr>
        <w:tabs>
          <w:tab w:val="left" w:pos="1110"/>
        </w:tabs>
        <w:spacing w:after="0" w:line="240" w:lineRule="auto"/>
        <w:ind w:left="2268"/>
        <w:jc w:val="both"/>
        <w:rPr>
          <w:rFonts w:ascii="Arial" w:eastAsia="Times New Roman" w:hAnsi="Arial" w:cs="Arial"/>
          <w:sz w:val="24"/>
          <w:szCs w:val="24"/>
        </w:rPr>
      </w:pPr>
    </w:p>
    <w:p w14:paraId="088D8CD8"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 xml:space="preserve">Na visão de Foucault, é importante consignar que não seria um Estado tomado como um “corpo” (com seus elementos, seus recursos e suas forças), </w:t>
      </w:r>
      <w:r w:rsidRPr="0040766B">
        <w:rPr>
          <w:rFonts w:ascii="Arial" w:eastAsia="Times New Roman" w:hAnsi="Arial" w:cs="Arial"/>
          <w:sz w:val="24"/>
          <w:szCs w:val="24"/>
        </w:rPr>
        <w:lastRenderedPageBreak/>
        <w:t>mas não seria tampouco o estudo do corpo e do que lhe estão conexos tomados como um pequeno Estado.  Trata-se na verdade do “corpo político”.</w:t>
      </w:r>
    </w:p>
    <w:p w14:paraId="3960F31E" w14:textId="77777777" w:rsidR="00F44328" w:rsidRPr="0040766B" w:rsidRDefault="00F44328" w:rsidP="00F44328">
      <w:pPr>
        <w:tabs>
          <w:tab w:val="left" w:pos="1110"/>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Esse corpo político funciona como conjunto dos elementos materiais e das técnicas que servem de armas, de reforço, de vias de comunicação e de pontos de apoio para as relações de poder e de saber que investem os corpos humanos e os submetem fazendo deles objetos de saber (como por exemplo, os saberes acima mencionados, em especial, a prisão)</w:t>
      </w:r>
      <w:r w:rsidRPr="0040766B">
        <w:rPr>
          <w:rFonts w:ascii="Arial" w:eastAsia="Times New Roman" w:hAnsi="Arial" w:cs="Arial"/>
          <w:sz w:val="24"/>
          <w:szCs w:val="24"/>
          <w:vertAlign w:val="superscript"/>
        </w:rPr>
        <w:footnoteReference w:id="12"/>
      </w:r>
      <w:r w:rsidRPr="0040766B">
        <w:rPr>
          <w:rFonts w:ascii="Arial" w:eastAsia="Times New Roman" w:hAnsi="Arial" w:cs="Arial"/>
          <w:sz w:val="24"/>
          <w:szCs w:val="24"/>
        </w:rPr>
        <w:t>, como microfísica do poder e uma tecnologia de poder sobre o corpo (a anatomia política, a alma enquanto prisão do corpo). Assim,</w:t>
      </w:r>
    </w:p>
    <w:p w14:paraId="575B85A9" w14:textId="77777777" w:rsidR="00F44328" w:rsidRPr="00094B1A" w:rsidRDefault="00F44328" w:rsidP="00F44328">
      <w:pPr>
        <w:tabs>
          <w:tab w:val="left" w:pos="989"/>
        </w:tabs>
        <w:spacing w:after="0" w:line="240" w:lineRule="auto"/>
        <w:ind w:left="2268"/>
        <w:jc w:val="both"/>
        <w:rPr>
          <w:rFonts w:ascii="Arial" w:eastAsia="Times New Roman" w:hAnsi="Arial" w:cs="Arial"/>
          <w:color w:val="000000"/>
          <w:sz w:val="20"/>
          <w:szCs w:val="20"/>
        </w:rPr>
      </w:pPr>
      <w:r w:rsidRPr="00094B1A">
        <w:rPr>
          <w:rFonts w:ascii="Arial" w:eastAsia="Times New Roman" w:hAnsi="Arial" w:cs="Arial"/>
          <w:color w:val="000000"/>
          <w:sz w:val="20"/>
          <w:szCs w:val="20"/>
        </w:rPr>
        <w:t>Como sempre, nas relações de poder, nos deparamos com fenômenos complexos que não obedecem á forma hegeliana da dialética. O domínio, a consciência de seu próprio corpo só puderam ser adquiridos pelo efeito do investimento do corpo pelo poder: a ginástica, os exercícios, o desenvolvimento muscular, a nudez, a exaltação do belo corpo. Tudo isto conduz ao desejo de seu próprio corpo através de um trabalho insistente, obstinado, meticuloso, que o poder exerceu sobre o corpo das crianças, dos soldados, sobre o corpo sadio. Mas, a partir do momento em que o poder produziu este efeito, como consequência direta de suas conquistas, emerge inevitavelmente a reinvindicação de seu próprio corpo contra o poder, a saúde contra a economia, o prazer contra as normas morais da sexualidade, do casamento, do pudor</w:t>
      </w:r>
      <w:r w:rsidRPr="00094B1A">
        <w:rPr>
          <w:rFonts w:ascii="Arial" w:eastAsia="Times New Roman" w:hAnsi="Arial" w:cs="Arial"/>
          <w:color w:val="000000"/>
          <w:sz w:val="20"/>
          <w:szCs w:val="20"/>
          <w:vertAlign w:val="superscript"/>
        </w:rPr>
        <w:footnoteReference w:id="13"/>
      </w:r>
      <w:r w:rsidRPr="00094B1A">
        <w:rPr>
          <w:rFonts w:ascii="Arial" w:eastAsia="Times New Roman" w:hAnsi="Arial" w:cs="Arial"/>
          <w:color w:val="000000"/>
          <w:sz w:val="20"/>
          <w:szCs w:val="20"/>
        </w:rPr>
        <w:t xml:space="preserve">. </w:t>
      </w:r>
    </w:p>
    <w:p w14:paraId="6D239456" w14:textId="77777777" w:rsidR="00F44328" w:rsidRPr="0040766B" w:rsidRDefault="00F44328" w:rsidP="00F44328">
      <w:pPr>
        <w:tabs>
          <w:tab w:val="left" w:pos="989"/>
        </w:tabs>
        <w:spacing w:after="0" w:line="240" w:lineRule="auto"/>
        <w:ind w:left="2268"/>
        <w:jc w:val="both"/>
        <w:rPr>
          <w:rFonts w:ascii="Arial" w:eastAsia="Times New Roman" w:hAnsi="Arial" w:cs="Arial"/>
          <w:color w:val="000000"/>
          <w:sz w:val="24"/>
          <w:szCs w:val="24"/>
        </w:rPr>
      </w:pPr>
    </w:p>
    <w:p w14:paraId="08FE8F52" w14:textId="77777777" w:rsidR="00F44328" w:rsidRPr="0040766B" w:rsidRDefault="00F44328" w:rsidP="00F44328">
      <w:pPr>
        <w:tabs>
          <w:tab w:val="left" w:pos="989"/>
        </w:tabs>
        <w:spacing w:after="0" w:line="360" w:lineRule="auto"/>
        <w:jc w:val="both"/>
        <w:rPr>
          <w:rFonts w:ascii="Arial" w:eastAsia="Times New Roman" w:hAnsi="Arial" w:cs="Arial"/>
          <w:color w:val="000000"/>
          <w:sz w:val="24"/>
          <w:szCs w:val="24"/>
        </w:rPr>
      </w:pPr>
      <w:bookmarkStart w:id="4" w:name="_h9zo98foylzp" w:colFirst="0" w:colLast="0"/>
      <w:bookmarkEnd w:id="4"/>
      <w:r w:rsidRPr="0040766B">
        <w:rPr>
          <w:rFonts w:ascii="Arial" w:eastAsia="Times New Roman" w:hAnsi="Arial" w:cs="Arial"/>
          <w:color w:val="000000"/>
          <w:sz w:val="24"/>
          <w:szCs w:val="24"/>
        </w:rPr>
        <w:tab/>
        <w:t>O que tornava forte o poder passa a ser aquilo por que ele é atacado.  Portanto, na ótica de Foucault, o poder penetra no corpo, encontrando-se exposto no próprio corpo. O autor exemplifica a ideia da união livre e do abordo, o pânico em relação a ausência do controle por parte das instituições do corpo social (médicos, políticos), ou seja, o poder descola-se, transita, circula.</w:t>
      </w:r>
    </w:p>
    <w:p w14:paraId="28CCFBCE" w14:textId="77777777" w:rsidR="00F44328" w:rsidRPr="0040766B" w:rsidRDefault="00F44328" w:rsidP="00F44328">
      <w:pPr>
        <w:tabs>
          <w:tab w:val="left" w:pos="989"/>
        </w:tabs>
        <w:spacing w:after="0" w:line="360" w:lineRule="auto"/>
        <w:jc w:val="both"/>
        <w:rPr>
          <w:rFonts w:ascii="Arial" w:eastAsia="Times New Roman" w:hAnsi="Arial" w:cs="Arial"/>
          <w:color w:val="000000"/>
          <w:sz w:val="24"/>
          <w:szCs w:val="24"/>
        </w:rPr>
      </w:pPr>
      <w:r w:rsidRPr="0040766B">
        <w:rPr>
          <w:rFonts w:ascii="Arial" w:eastAsia="Times New Roman" w:hAnsi="Arial" w:cs="Arial"/>
          <w:color w:val="000000"/>
          <w:sz w:val="24"/>
          <w:szCs w:val="24"/>
        </w:rPr>
        <w:t xml:space="preserve"> </w:t>
      </w:r>
      <w:r w:rsidRPr="0040766B">
        <w:rPr>
          <w:rFonts w:ascii="Arial" w:eastAsia="Times New Roman" w:hAnsi="Arial" w:cs="Arial"/>
          <w:color w:val="000000"/>
          <w:sz w:val="24"/>
          <w:szCs w:val="24"/>
        </w:rPr>
        <w:tab/>
        <w:t xml:space="preserve">Ao descrever as funções do poder disciplinar (característico de instituições, tais como, a prisão, o hospital, a fábrica, o exército), na forma como se estruturaram (final do século XVII), o autor explicita as técnicas de distribuição espacial individualizada, de controle minucioso do tempo e das atividades, de seriação e capitalização das forças dos indivíduos, associada aos instrumentos de vigilância constante, de um sistema de sanções que consiste no exercício das </w:t>
      </w:r>
      <w:r w:rsidRPr="0040766B">
        <w:rPr>
          <w:rFonts w:ascii="Arial" w:eastAsia="Times New Roman" w:hAnsi="Arial" w:cs="Arial"/>
          <w:color w:val="000000"/>
          <w:sz w:val="24"/>
          <w:szCs w:val="24"/>
        </w:rPr>
        <w:lastRenderedPageBreak/>
        <w:t>atividades esperadas e da elaboração de um saber que tem a forma do exame, a disciplina constitui uma individualidade dócil e útil, adequada e produtiva</w:t>
      </w:r>
      <w:r w:rsidRPr="0040766B">
        <w:rPr>
          <w:rFonts w:ascii="Arial" w:eastAsia="Times New Roman" w:hAnsi="Arial" w:cs="Arial"/>
          <w:color w:val="000000"/>
          <w:sz w:val="24"/>
          <w:szCs w:val="24"/>
          <w:vertAlign w:val="superscript"/>
        </w:rPr>
        <w:footnoteReference w:id="14"/>
      </w:r>
      <w:r w:rsidRPr="0040766B">
        <w:rPr>
          <w:rFonts w:ascii="Arial" w:eastAsia="Times New Roman" w:hAnsi="Arial" w:cs="Arial"/>
          <w:color w:val="000000"/>
          <w:sz w:val="24"/>
          <w:szCs w:val="24"/>
        </w:rPr>
        <w:t xml:space="preserve">. </w:t>
      </w:r>
    </w:p>
    <w:p w14:paraId="5AE4DE75" w14:textId="77777777" w:rsidR="00F44328" w:rsidRPr="0040766B" w:rsidRDefault="00F44328" w:rsidP="00F44328">
      <w:pPr>
        <w:tabs>
          <w:tab w:val="left" w:pos="989"/>
        </w:tabs>
        <w:spacing w:after="0" w:line="360" w:lineRule="auto"/>
        <w:jc w:val="both"/>
        <w:rPr>
          <w:rFonts w:ascii="Arial" w:eastAsia="Times New Roman" w:hAnsi="Arial" w:cs="Arial"/>
          <w:color w:val="000000"/>
          <w:sz w:val="24"/>
          <w:szCs w:val="24"/>
        </w:rPr>
      </w:pPr>
      <w:r w:rsidRPr="0040766B">
        <w:rPr>
          <w:rFonts w:ascii="Arial" w:eastAsia="Times New Roman" w:hAnsi="Arial" w:cs="Arial"/>
          <w:color w:val="000000"/>
          <w:sz w:val="24"/>
          <w:szCs w:val="24"/>
        </w:rPr>
        <w:tab/>
        <w:t xml:space="preserve">Nesse sentido, dirá Foucault, uma individualidade normalizada (normalização disciplinar), que é historicamente identificada em sua simultaneidade à constituição das sociedades capitalistas modernas, nas quais o controle dos corpos individuais se atrela aos mecanismos codificados da produção.  Daí, Foucault afirmar que a disciplina é uma </w:t>
      </w:r>
      <w:proofErr w:type="spellStart"/>
      <w:r w:rsidRPr="0040766B">
        <w:rPr>
          <w:rFonts w:ascii="Arial" w:eastAsia="Times New Roman" w:hAnsi="Arial" w:cs="Arial"/>
          <w:color w:val="000000"/>
          <w:sz w:val="24"/>
          <w:szCs w:val="24"/>
        </w:rPr>
        <w:t>anatomopolítica</w:t>
      </w:r>
      <w:proofErr w:type="spellEnd"/>
      <w:r w:rsidRPr="0040766B">
        <w:rPr>
          <w:rFonts w:ascii="Arial" w:eastAsia="Times New Roman" w:hAnsi="Arial" w:cs="Arial"/>
          <w:color w:val="000000"/>
          <w:sz w:val="24"/>
          <w:szCs w:val="24"/>
        </w:rPr>
        <w:t xml:space="preserve"> dos corpos (conceito de biopolítica). Ensina Foucault: </w:t>
      </w:r>
    </w:p>
    <w:p w14:paraId="1937196E" w14:textId="77777777" w:rsidR="00F44328" w:rsidRPr="00094B1A" w:rsidRDefault="00F44328" w:rsidP="00F44328">
      <w:pPr>
        <w:tabs>
          <w:tab w:val="left" w:pos="989"/>
        </w:tabs>
        <w:spacing w:after="0" w:line="240" w:lineRule="auto"/>
        <w:ind w:left="2268"/>
        <w:jc w:val="both"/>
        <w:rPr>
          <w:rFonts w:ascii="Arial" w:eastAsia="Times New Roman" w:hAnsi="Arial" w:cs="Arial"/>
          <w:color w:val="000000"/>
          <w:sz w:val="20"/>
          <w:szCs w:val="20"/>
        </w:rPr>
      </w:pP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el</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siglo</w:t>
      </w:r>
      <w:proofErr w:type="spellEnd"/>
      <w:r w:rsidRPr="00094B1A">
        <w:rPr>
          <w:rFonts w:ascii="Arial" w:eastAsia="Times New Roman" w:hAnsi="Arial" w:cs="Arial"/>
          <w:color w:val="000000"/>
          <w:sz w:val="20"/>
          <w:szCs w:val="20"/>
        </w:rPr>
        <w:t xml:space="preserve"> XVIII, </w:t>
      </w:r>
      <w:proofErr w:type="spellStart"/>
      <w:r w:rsidRPr="00094B1A">
        <w:rPr>
          <w:rFonts w:ascii="Arial" w:eastAsia="Times New Roman" w:hAnsi="Arial" w:cs="Arial"/>
          <w:color w:val="000000"/>
          <w:sz w:val="20"/>
          <w:szCs w:val="20"/>
        </w:rPr>
        <w:t>el</w:t>
      </w:r>
      <w:proofErr w:type="spellEnd"/>
      <w:r w:rsidRPr="00094B1A">
        <w:rPr>
          <w:rFonts w:ascii="Arial" w:eastAsia="Times New Roman" w:hAnsi="Arial" w:cs="Arial"/>
          <w:color w:val="000000"/>
          <w:sz w:val="20"/>
          <w:szCs w:val="20"/>
        </w:rPr>
        <w:t xml:space="preserve"> principio de </w:t>
      </w:r>
      <w:proofErr w:type="spellStart"/>
      <w:r w:rsidRPr="00094B1A">
        <w:rPr>
          <w:rFonts w:ascii="Arial" w:eastAsia="Times New Roman" w:hAnsi="Arial" w:cs="Arial"/>
          <w:color w:val="000000"/>
          <w:sz w:val="20"/>
          <w:szCs w:val="20"/>
        </w:rPr>
        <w:t>limitación</w:t>
      </w:r>
      <w:proofErr w:type="spellEnd"/>
      <w:r w:rsidRPr="00094B1A">
        <w:rPr>
          <w:rFonts w:ascii="Arial" w:eastAsia="Times New Roman" w:hAnsi="Arial" w:cs="Arial"/>
          <w:color w:val="000000"/>
          <w:sz w:val="20"/>
          <w:szCs w:val="20"/>
        </w:rPr>
        <w:t xml:space="preserve"> externa de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razón</w:t>
      </w:r>
      <w:proofErr w:type="spellEnd"/>
      <w:r w:rsidRPr="00094B1A">
        <w:rPr>
          <w:rFonts w:ascii="Arial" w:eastAsia="Times New Roman" w:hAnsi="Arial" w:cs="Arial"/>
          <w:color w:val="000000"/>
          <w:sz w:val="20"/>
          <w:szCs w:val="20"/>
        </w:rPr>
        <w:t xml:space="preserve"> de Estado, que </w:t>
      </w:r>
      <w:proofErr w:type="spellStart"/>
      <w:r w:rsidRPr="00094B1A">
        <w:rPr>
          <w:rFonts w:ascii="Arial" w:eastAsia="Times New Roman" w:hAnsi="Arial" w:cs="Arial"/>
          <w:color w:val="000000"/>
          <w:sz w:val="20"/>
          <w:szCs w:val="20"/>
        </w:rPr>
        <w:t>cons</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tituía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el</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derecho</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fue</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sustituido</w:t>
      </w:r>
      <w:proofErr w:type="spellEnd"/>
      <w:r w:rsidRPr="00094B1A">
        <w:rPr>
          <w:rFonts w:ascii="Arial" w:eastAsia="Times New Roman" w:hAnsi="Arial" w:cs="Arial"/>
          <w:color w:val="000000"/>
          <w:sz w:val="20"/>
          <w:szCs w:val="20"/>
        </w:rPr>
        <w:t xml:space="preserve"> por </w:t>
      </w:r>
      <w:proofErr w:type="spellStart"/>
      <w:r w:rsidRPr="00094B1A">
        <w:rPr>
          <w:rFonts w:ascii="Arial" w:eastAsia="Times New Roman" w:hAnsi="Arial" w:cs="Arial"/>
          <w:color w:val="000000"/>
          <w:sz w:val="20"/>
          <w:szCs w:val="20"/>
        </w:rPr>
        <w:t>un</w:t>
      </w:r>
      <w:proofErr w:type="spellEnd"/>
      <w:r w:rsidRPr="00094B1A">
        <w:rPr>
          <w:rFonts w:ascii="Arial" w:eastAsia="Times New Roman" w:hAnsi="Arial" w:cs="Arial"/>
          <w:color w:val="000000"/>
          <w:sz w:val="20"/>
          <w:szCs w:val="20"/>
        </w:rPr>
        <w:t xml:space="preserve"> principio de </w:t>
      </w:r>
      <w:proofErr w:type="spellStart"/>
      <w:r w:rsidRPr="00094B1A">
        <w:rPr>
          <w:rFonts w:ascii="Arial" w:eastAsia="Times New Roman" w:hAnsi="Arial" w:cs="Arial"/>
          <w:color w:val="000000"/>
          <w:sz w:val="20"/>
          <w:szCs w:val="20"/>
        </w:rPr>
        <w:t>limitación</w:t>
      </w:r>
      <w:proofErr w:type="spellEnd"/>
      <w:r w:rsidRPr="00094B1A">
        <w:rPr>
          <w:rFonts w:ascii="Arial" w:eastAsia="Times New Roman" w:hAnsi="Arial" w:cs="Arial"/>
          <w:color w:val="000000"/>
          <w:sz w:val="20"/>
          <w:szCs w:val="20"/>
        </w:rPr>
        <w:t xml:space="preserve">- interna, </w:t>
      </w:r>
      <w:proofErr w:type="spellStart"/>
      <w:r w:rsidRPr="00094B1A">
        <w:rPr>
          <w:rFonts w:ascii="Arial" w:eastAsia="Times New Roman" w:hAnsi="Arial" w:cs="Arial"/>
          <w:color w:val="000000"/>
          <w:sz w:val="20"/>
          <w:szCs w:val="20"/>
        </w:rPr>
        <w:t>con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forma de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economía</w:t>
      </w:r>
      <w:proofErr w:type="spellEnd"/>
      <w:r w:rsidRPr="00094B1A">
        <w:rPr>
          <w:rFonts w:ascii="Arial" w:eastAsia="Times New Roman" w:hAnsi="Arial" w:cs="Arial"/>
          <w:color w:val="000000"/>
          <w:sz w:val="20"/>
          <w:szCs w:val="20"/>
        </w:rPr>
        <w:t xml:space="preserve">. La </w:t>
      </w:r>
      <w:proofErr w:type="spellStart"/>
      <w:r w:rsidRPr="00094B1A">
        <w:rPr>
          <w:rFonts w:ascii="Arial" w:eastAsia="Times New Roman" w:hAnsi="Arial" w:cs="Arial"/>
          <w:color w:val="000000"/>
          <w:sz w:val="20"/>
          <w:szCs w:val="20"/>
        </w:rPr>
        <w:t>economía</w:t>
      </w:r>
      <w:proofErr w:type="spellEnd"/>
      <w:r w:rsidRPr="00094B1A">
        <w:rPr>
          <w:rFonts w:ascii="Arial" w:eastAsia="Times New Roman" w:hAnsi="Arial" w:cs="Arial"/>
          <w:color w:val="000000"/>
          <w:sz w:val="20"/>
          <w:szCs w:val="20"/>
        </w:rPr>
        <w:t xml:space="preserve"> política, </w:t>
      </w: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efecto</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lleva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su</w:t>
      </w:r>
      <w:proofErr w:type="spellEnd"/>
      <w:r w:rsidRPr="00094B1A">
        <w:rPr>
          <w:rFonts w:ascii="Arial" w:eastAsia="Times New Roman" w:hAnsi="Arial" w:cs="Arial"/>
          <w:color w:val="000000"/>
          <w:sz w:val="20"/>
          <w:szCs w:val="20"/>
        </w:rPr>
        <w:t xml:space="preserve"> seno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exigencia</w:t>
      </w:r>
      <w:proofErr w:type="spellEnd"/>
      <w:r w:rsidRPr="00094B1A">
        <w:rPr>
          <w:rFonts w:ascii="Arial" w:eastAsia="Times New Roman" w:hAnsi="Arial" w:cs="Arial"/>
          <w:color w:val="000000"/>
          <w:sz w:val="20"/>
          <w:szCs w:val="20"/>
        </w:rPr>
        <w:t xml:space="preserve"> de una </w:t>
      </w:r>
      <w:proofErr w:type="spellStart"/>
      <w:r w:rsidRPr="00094B1A">
        <w:rPr>
          <w:rFonts w:ascii="Arial" w:eastAsia="Times New Roman" w:hAnsi="Arial" w:cs="Arial"/>
          <w:color w:val="000000"/>
          <w:sz w:val="20"/>
          <w:szCs w:val="20"/>
        </w:rPr>
        <w:t>autolimitación</w:t>
      </w:r>
      <w:proofErr w:type="spellEnd"/>
      <w:r w:rsidRPr="00094B1A">
        <w:rPr>
          <w:rFonts w:ascii="Arial" w:eastAsia="Times New Roman" w:hAnsi="Arial" w:cs="Arial"/>
          <w:color w:val="000000"/>
          <w:sz w:val="20"/>
          <w:szCs w:val="20"/>
        </w:rPr>
        <w:t xml:space="preserve"> de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razón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gubernamental</w:t>
      </w:r>
      <w:proofErr w:type="spellEnd"/>
      <w:r w:rsidRPr="00094B1A">
        <w:rPr>
          <w:rFonts w:ascii="Arial" w:eastAsia="Times New Roman" w:hAnsi="Arial" w:cs="Arial"/>
          <w:color w:val="000000"/>
          <w:sz w:val="20"/>
          <w:szCs w:val="20"/>
        </w:rPr>
        <w:t xml:space="preserve">, fundada </w:t>
      </w: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el</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conocimiento</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del</w:t>
      </w:r>
      <w:proofErr w:type="spellEnd"/>
      <w:r w:rsidRPr="00094B1A">
        <w:rPr>
          <w:rFonts w:ascii="Arial" w:eastAsia="Times New Roman" w:hAnsi="Arial" w:cs="Arial"/>
          <w:color w:val="000000"/>
          <w:sz w:val="20"/>
          <w:szCs w:val="20"/>
        </w:rPr>
        <w:t xml:space="preserve"> curso natural de </w:t>
      </w:r>
      <w:proofErr w:type="spellStart"/>
      <w:r w:rsidRPr="00094B1A">
        <w:rPr>
          <w:rFonts w:ascii="Arial" w:eastAsia="Times New Roman" w:hAnsi="Arial" w:cs="Arial"/>
          <w:color w:val="000000"/>
          <w:sz w:val="20"/>
          <w:szCs w:val="20"/>
        </w:rPr>
        <w:t>las</w:t>
      </w:r>
      <w:proofErr w:type="spellEnd"/>
      <w:r w:rsidRPr="00094B1A">
        <w:rPr>
          <w:rFonts w:ascii="Arial" w:eastAsia="Times New Roman" w:hAnsi="Arial" w:cs="Arial"/>
          <w:color w:val="000000"/>
          <w:sz w:val="20"/>
          <w:szCs w:val="20"/>
        </w:rPr>
        <w:t xml:space="preserve"> cosas. Marca, por </w:t>
      </w:r>
      <w:proofErr w:type="spellStart"/>
      <w:r w:rsidRPr="00094B1A">
        <w:rPr>
          <w:rFonts w:ascii="Arial" w:eastAsia="Times New Roman" w:hAnsi="Arial" w:cs="Arial"/>
          <w:color w:val="000000"/>
          <w:sz w:val="20"/>
          <w:szCs w:val="20"/>
        </w:rPr>
        <w:t>lo</w:t>
      </w:r>
      <w:proofErr w:type="spellEnd"/>
      <w:r w:rsidRPr="00094B1A">
        <w:rPr>
          <w:rFonts w:ascii="Arial" w:eastAsia="Times New Roman" w:hAnsi="Arial" w:cs="Arial"/>
          <w:color w:val="000000"/>
          <w:sz w:val="20"/>
          <w:szCs w:val="20"/>
        </w:rPr>
        <w:t xml:space="preserve"> tanto,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irrupción</w:t>
      </w:r>
      <w:proofErr w:type="spellEnd"/>
      <w:r w:rsidRPr="00094B1A">
        <w:rPr>
          <w:rFonts w:ascii="Arial" w:eastAsia="Times New Roman" w:hAnsi="Arial" w:cs="Arial"/>
          <w:color w:val="000000"/>
          <w:sz w:val="20"/>
          <w:szCs w:val="20"/>
        </w:rPr>
        <w:t xml:space="preserve"> de una </w:t>
      </w:r>
      <w:proofErr w:type="spellStart"/>
      <w:r w:rsidRPr="00094B1A">
        <w:rPr>
          <w:rFonts w:ascii="Arial" w:eastAsia="Times New Roman" w:hAnsi="Arial" w:cs="Arial"/>
          <w:color w:val="000000"/>
          <w:sz w:val="20"/>
          <w:szCs w:val="20"/>
        </w:rPr>
        <w:t>nueva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racionalidad</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el</w:t>
      </w:r>
      <w:proofErr w:type="spellEnd"/>
      <w:r w:rsidRPr="00094B1A">
        <w:rPr>
          <w:rFonts w:ascii="Arial" w:eastAsia="Times New Roman" w:hAnsi="Arial" w:cs="Arial"/>
          <w:color w:val="000000"/>
          <w:sz w:val="20"/>
          <w:szCs w:val="20"/>
        </w:rPr>
        <w:t xml:space="preserve"> arte de </w:t>
      </w:r>
      <w:proofErr w:type="spellStart"/>
      <w:r w:rsidRPr="00094B1A">
        <w:rPr>
          <w:rFonts w:ascii="Arial" w:eastAsia="Times New Roman" w:hAnsi="Arial" w:cs="Arial"/>
          <w:color w:val="000000"/>
          <w:sz w:val="20"/>
          <w:szCs w:val="20"/>
        </w:rPr>
        <w:t>gobernar</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gobernar</w:t>
      </w:r>
      <w:proofErr w:type="spellEnd"/>
      <w:r w:rsidRPr="00094B1A">
        <w:rPr>
          <w:rFonts w:ascii="Arial" w:eastAsia="Times New Roman" w:hAnsi="Arial" w:cs="Arial"/>
          <w:color w:val="000000"/>
          <w:sz w:val="20"/>
          <w:szCs w:val="20"/>
        </w:rPr>
        <w:t xml:space="preserve"> menos, por mor de </w:t>
      </w:r>
      <w:proofErr w:type="spellStart"/>
      <w:r w:rsidRPr="00094B1A">
        <w:rPr>
          <w:rFonts w:ascii="Arial" w:eastAsia="Times New Roman" w:hAnsi="Arial" w:cs="Arial"/>
          <w:color w:val="000000"/>
          <w:sz w:val="20"/>
          <w:szCs w:val="20"/>
        </w:rPr>
        <w:t>eficacia</w:t>
      </w:r>
      <w:proofErr w:type="spellEnd"/>
      <w:r w:rsidRPr="00094B1A">
        <w:rPr>
          <w:rFonts w:ascii="Arial" w:eastAsia="Times New Roman" w:hAnsi="Arial" w:cs="Arial"/>
          <w:color w:val="000000"/>
          <w:sz w:val="20"/>
          <w:szCs w:val="20"/>
        </w:rPr>
        <w:t xml:space="preserve"> máxima, </w:t>
      </w: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función</w:t>
      </w:r>
      <w:proofErr w:type="spellEnd"/>
      <w:r w:rsidRPr="00094B1A">
        <w:rPr>
          <w:rFonts w:ascii="Arial" w:eastAsia="Times New Roman" w:hAnsi="Arial" w:cs="Arial"/>
          <w:color w:val="000000"/>
          <w:sz w:val="20"/>
          <w:szCs w:val="20"/>
        </w:rPr>
        <w:t xml:space="preserve"> de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naturalidad</w:t>
      </w:r>
      <w:proofErr w:type="spellEnd"/>
      <w:r w:rsidRPr="00094B1A">
        <w:rPr>
          <w:rFonts w:ascii="Arial" w:eastAsia="Times New Roman" w:hAnsi="Arial" w:cs="Arial"/>
          <w:color w:val="000000"/>
          <w:sz w:val="20"/>
          <w:szCs w:val="20"/>
        </w:rPr>
        <w:t xml:space="preserve"> de </w:t>
      </w:r>
      <w:proofErr w:type="spellStart"/>
      <w:r w:rsidRPr="00094B1A">
        <w:rPr>
          <w:rFonts w:ascii="Arial" w:eastAsia="Times New Roman" w:hAnsi="Arial" w:cs="Arial"/>
          <w:color w:val="000000"/>
          <w:sz w:val="20"/>
          <w:szCs w:val="20"/>
        </w:rPr>
        <w:t>los</w:t>
      </w:r>
      <w:proofErr w:type="spellEnd"/>
      <w:r w:rsidRPr="00094B1A">
        <w:rPr>
          <w:rFonts w:ascii="Arial" w:eastAsia="Times New Roman" w:hAnsi="Arial" w:cs="Arial"/>
          <w:color w:val="000000"/>
          <w:sz w:val="20"/>
          <w:szCs w:val="20"/>
        </w:rPr>
        <w:t xml:space="preserve"> fenómenos </w:t>
      </w: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cuestión</w:t>
      </w:r>
      <w:proofErr w:type="spellEnd"/>
      <w:r w:rsidRPr="00094B1A">
        <w:rPr>
          <w:rFonts w:ascii="Arial" w:eastAsia="Times New Roman" w:hAnsi="Arial" w:cs="Arial"/>
          <w:color w:val="000000"/>
          <w:sz w:val="20"/>
          <w:szCs w:val="20"/>
        </w:rPr>
        <w:t xml:space="preserve">. Es esta </w:t>
      </w:r>
      <w:proofErr w:type="spellStart"/>
      <w:r w:rsidRPr="00094B1A">
        <w:rPr>
          <w:rFonts w:ascii="Arial" w:eastAsia="Times New Roman" w:hAnsi="Arial" w:cs="Arial"/>
          <w:color w:val="000000"/>
          <w:sz w:val="20"/>
          <w:szCs w:val="20"/>
        </w:rPr>
        <w:t>gubernamentalidad</w:t>
      </w:r>
      <w:proofErr w:type="spellEnd"/>
      <w:r w:rsidRPr="00094B1A">
        <w:rPr>
          <w:rFonts w:ascii="Arial" w:eastAsia="Times New Roman" w:hAnsi="Arial" w:cs="Arial"/>
          <w:color w:val="000000"/>
          <w:sz w:val="20"/>
          <w:szCs w:val="20"/>
        </w:rPr>
        <w:t xml:space="preserve">, ligada </w:t>
      </w: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su</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esfuerzo</w:t>
      </w:r>
      <w:proofErr w:type="spellEnd"/>
      <w:r w:rsidRPr="00094B1A">
        <w:rPr>
          <w:rFonts w:ascii="Arial" w:eastAsia="Times New Roman" w:hAnsi="Arial" w:cs="Arial"/>
          <w:color w:val="000000"/>
          <w:sz w:val="20"/>
          <w:szCs w:val="20"/>
        </w:rPr>
        <w:t xml:space="preserve"> de </w:t>
      </w:r>
      <w:proofErr w:type="spellStart"/>
      <w:r w:rsidRPr="00094B1A">
        <w:rPr>
          <w:rFonts w:ascii="Arial" w:eastAsia="Times New Roman" w:hAnsi="Arial" w:cs="Arial"/>
          <w:color w:val="000000"/>
          <w:sz w:val="20"/>
          <w:szCs w:val="20"/>
        </w:rPr>
        <w:t>autolimitación</w:t>
      </w:r>
      <w:proofErr w:type="spellEnd"/>
      <w:r w:rsidRPr="00094B1A">
        <w:rPr>
          <w:rFonts w:ascii="Arial" w:eastAsia="Times New Roman" w:hAnsi="Arial" w:cs="Arial"/>
          <w:color w:val="000000"/>
          <w:sz w:val="20"/>
          <w:szCs w:val="20"/>
        </w:rPr>
        <w:t xml:space="preserve"> permanente a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cuestión</w:t>
      </w:r>
      <w:proofErr w:type="spellEnd"/>
      <w:r w:rsidRPr="00094B1A">
        <w:rPr>
          <w:rFonts w:ascii="Arial" w:eastAsia="Times New Roman" w:hAnsi="Arial" w:cs="Arial"/>
          <w:color w:val="000000"/>
          <w:sz w:val="20"/>
          <w:szCs w:val="20"/>
        </w:rPr>
        <w:t xml:space="preserve"> de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verdad</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que Foucault </w:t>
      </w:r>
      <w:proofErr w:type="spellStart"/>
      <w:r w:rsidRPr="00094B1A">
        <w:rPr>
          <w:rFonts w:ascii="Arial" w:eastAsia="Times New Roman" w:hAnsi="Arial" w:cs="Arial"/>
          <w:color w:val="000000"/>
          <w:sz w:val="20"/>
          <w:szCs w:val="20"/>
        </w:rPr>
        <w:t>llama</w:t>
      </w:r>
      <w:proofErr w:type="spellEnd"/>
      <w:r w:rsidRPr="00094B1A">
        <w:rPr>
          <w:rFonts w:ascii="Arial" w:eastAsia="Times New Roman" w:hAnsi="Arial" w:cs="Arial"/>
          <w:color w:val="000000"/>
          <w:sz w:val="20"/>
          <w:szCs w:val="20"/>
        </w:rPr>
        <w:t xml:space="preserve"> "liberalismo". El objeto </w:t>
      </w:r>
      <w:proofErr w:type="spellStart"/>
      <w:r w:rsidRPr="00094B1A">
        <w:rPr>
          <w:rFonts w:ascii="Arial" w:eastAsia="Times New Roman" w:hAnsi="Arial" w:cs="Arial"/>
          <w:color w:val="000000"/>
          <w:sz w:val="20"/>
          <w:szCs w:val="20"/>
        </w:rPr>
        <w:t>del</w:t>
      </w:r>
      <w:proofErr w:type="spellEnd"/>
      <w:r w:rsidRPr="00094B1A">
        <w:rPr>
          <w:rFonts w:ascii="Arial" w:eastAsia="Times New Roman" w:hAnsi="Arial" w:cs="Arial"/>
          <w:color w:val="000000"/>
          <w:sz w:val="20"/>
          <w:szCs w:val="20"/>
        </w:rPr>
        <w:t xml:space="preserve"> curso es </w:t>
      </w:r>
      <w:proofErr w:type="spellStart"/>
      <w:r w:rsidRPr="00094B1A">
        <w:rPr>
          <w:rFonts w:ascii="Arial" w:eastAsia="Times New Roman" w:hAnsi="Arial" w:cs="Arial"/>
          <w:color w:val="000000"/>
          <w:sz w:val="20"/>
          <w:szCs w:val="20"/>
        </w:rPr>
        <w:t>entonces</w:t>
      </w:r>
      <w:proofErr w:type="spellEnd"/>
      <w:r w:rsidRPr="00094B1A">
        <w:rPr>
          <w:rFonts w:ascii="Arial" w:eastAsia="Times New Roman" w:hAnsi="Arial" w:cs="Arial"/>
          <w:color w:val="000000"/>
          <w:sz w:val="20"/>
          <w:szCs w:val="20"/>
        </w:rPr>
        <w:t xml:space="preserve"> mostrar </w:t>
      </w:r>
      <w:proofErr w:type="spellStart"/>
      <w:r w:rsidRPr="00094B1A">
        <w:rPr>
          <w:rFonts w:ascii="Arial" w:eastAsia="Times New Roman" w:hAnsi="Arial" w:cs="Arial"/>
          <w:color w:val="000000"/>
          <w:sz w:val="20"/>
          <w:szCs w:val="20"/>
        </w:rPr>
        <w:t>en</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qué</w:t>
      </w:r>
      <w:proofErr w:type="spellEnd"/>
      <w:r w:rsidRPr="00094B1A">
        <w:rPr>
          <w:rFonts w:ascii="Arial" w:eastAsia="Times New Roman" w:hAnsi="Arial" w:cs="Arial"/>
          <w:color w:val="000000"/>
          <w:sz w:val="20"/>
          <w:szCs w:val="20"/>
        </w:rPr>
        <w:t xml:space="preserve"> aspecto </w:t>
      </w:r>
      <w:proofErr w:type="spellStart"/>
      <w:r w:rsidRPr="00094B1A">
        <w:rPr>
          <w:rFonts w:ascii="Arial" w:eastAsia="Times New Roman" w:hAnsi="Arial" w:cs="Arial"/>
          <w:color w:val="000000"/>
          <w:sz w:val="20"/>
          <w:szCs w:val="20"/>
        </w:rPr>
        <w:t>éste</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constituye</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w:t>
      </w:r>
      <w:proofErr w:type="spellStart"/>
      <w:r w:rsidRPr="00094B1A">
        <w:rPr>
          <w:rFonts w:ascii="Arial" w:eastAsia="Times New Roman" w:hAnsi="Arial" w:cs="Arial"/>
          <w:color w:val="000000"/>
          <w:sz w:val="20"/>
          <w:szCs w:val="20"/>
        </w:rPr>
        <w:t>condición</w:t>
      </w:r>
      <w:proofErr w:type="spellEnd"/>
      <w:r w:rsidRPr="00094B1A">
        <w:rPr>
          <w:rFonts w:ascii="Arial" w:eastAsia="Times New Roman" w:hAnsi="Arial" w:cs="Arial"/>
          <w:color w:val="000000"/>
          <w:sz w:val="20"/>
          <w:szCs w:val="20"/>
        </w:rPr>
        <w:t xml:space="preserve"> de </w:t>
      </w:r>
      <w:proofErr w:type="spellStart"/>
      <w:r w:rsidRPr="00094B1A">
        <w:rPr>
          <w:rFonts w:ascii="Arial" w:eastAsia="Times New Roman" w:hAnsi="Arial" w:cs="Arial"/>
          <w:color w:val="000000"/>
          <w:sz w:val="20"/>
          <w:szCs w:val="20"/>
        </w:rPr>
        <w:t>inteligibilidad</w:t>
      </w:r>
      <w:proofErr w:type="spellEnd"/>
      <w:r w:rsidRPr="00094B1A">
        <w:rPr>
          <w:rFonts w:ascii="Arial" w:eastAsia="Times New Roman" w:hAnsi="Arial" w:cs="Arial"/>
          <w:color w:val="000000"/>
          <w:sz w:val="20"/>
          <w:szCs w:val="20"/>
        </w:rPr>
        <w:t xml:space="preserve"> de </w:t>
      </w:r>
      <w:proofErr w:type="spellStart"/>
      <w:r w:rsidRPr="00094B1A">
        <w:rPr>
          <w:rFonts w:ascii="Arial" w:eastAsia="Times New Roman" w:hAnsi="Arial" w:cs="Arial"/>
          <w:color w:val="000000"/>
          <w:sz w:val="20"/>
          <w:szCs w:val="20"/>
        </w:rPr>
        <w:t>la</w:t>
      </w:r>
      <w:proofErr w:type="spellEnd"/>
      <w:r w:rsidRPr="00094B1A">
        <w:rPr>
          <w:rFonts w:ascii="Arial" w:eastAsia="Times New Roman" w:hAnsi="Arial" w:cs="Arial"/>
          <w:color w:val="000000"/>
          <w:sz w:val="20"/>
          <w:szCs w:val="20"/>
        </w:rPr>
        <w:t xml:space="preserve"> biopolítica</w:t>
      </w:r>
      <w:r w:rsidRPr="00094B1A">
        <w:rPr>
          <w:rFonts w:ascii="Arial" w:eastAsia="Times New Roman" w:hAnsi="Arial" w:cs="Arial"/>
          <w:color w:val="000000"/>
          <w:sz w:val="20"/>
          <w:szCs w:val="20"/>
          <w:vertAlign w:val="superscript"/>
        </w:rPr>
        <w:footnoteReference w:id="15"/>
      </w:r>
      <w:r w:rsidRPr="00094B1A">
        <w:rPr>
          <w:rFonts w:ascii="Arial" w:eastAsia="Times New Roman" w:hAnsi="Arial" w:cs="Arial"/>
          <w:color w:val="000000"/>
          <w:sz w:val="20"/>
          <w:szCs w:val="20"/>
        </w:rPr>
        <w:t>.</w:t>
      </w:r>
    </w:p>
    <w:p w14:paraId="71D74C27" w14:textId="77777777" w:rsidR="00F44328" w:rsidRPr="0040766B" w:rsidRDefault="00F44328" w:rsidP="00F44328">
      <w:pPr>
        <w:tabs>
          <w:tab w:val="left" w:pos="989"/>
        </w:tabs>
        <w:spacing w:after="0" w:line="240" w:lineRule="auto"/>
        <w:jc w:val="both"/>
        <w:rPr>
          <w:rFonts w:ascii="Arial" w:eastAsia="Times New Roman" w:hAnsi="Arial" w:cs="Arial"/>
          <w:color w:val="000000"/>
          <w:sz w:val="24"/>
          <w:szCs w:val="24"/>
        </w:rPr>
      </w:pPr>
    </w:p>
    <w:p w14:paraId="6B916109" w14:textId="77777777" w:rsidR="00F44328" w:rsidRPr="0040766B" w:rsidRDefault="00F44328" w:rsidP="00F44328">
      <w:pPr>
        <w:tabs>
          <w:tab w:val="left" w:pos="989"/>
        </w:tabs>
        <w:spacing w:after="0" w:line="360" w:lineRule="auto"/>
        <w:jc w:val="both"/>
        <w:rPr>
          <w:rFonts w:ascii="Arial" w:eastAsia="Times New Roman" w:hAnsi="Arial" w:cs="Arial"/>
          <w:color w:val="000000"/>
          <w:sz w:val="24"/>
          <w:szCs w:val="24"/>
        </w:rPr>
      </w:pPr>
      <w:r w:rsidRPr="0040766B">
        <w:rPr>
          <w:rFonts w:ascii="Arial" w:eastAsia="Times New Roman" w:hAnsi="Arial" w:cs="Arial"/>
          <w:color w:val="000000"/>
          <w:sz w:val="24"/>
          <w:szCs w:val="24"/>
        </w:rPr>
        <w:t xml:space="preserve"> </w:t>
      </w:r>
      <w:r w:rsidRPr="0040766B">
        <w:rPr>
          <w:rFonts w:ascii="Arial" w:eastAsia="Times New Roman" w:hAnsi="Arial" w:cs="Arial"/>
          <w:color w:val="000000"/>
          <w:sz w:val="24"/>
          <w:szCs w:val="24"/>
        </w:rPr>
        <w:tab/>
        <w:t xml:space="preserve">A arte de governar deve então estabelecer suas regras e racionalizar suas maneiras de fazer propondo-se como objetivo, fazer o </w:t>
      </w:r>
      <w:proofErr w:type="spellStart"/>
      <w:r w:rsidRPr="0040766B">
        <w:rPr>
          <w:rFonts w:ascii="Arial" w:eastAsia="Times New Roman" w:hAnsi="Arial" w:cs="Arial"/>
          <w:color w:val="000000"/>
          <w:sz w:val="24"/>
          <w:szCs w:val="24"/>
        </w:rPr>
        <w:t>dever-ser</w:t>
      </w:r>
      <w:proofErr w:type="spellEnd"/>
      <w:r w:rsidRPr="0040766B">
        <w:rPr>
          <w:rFonts w:ascii="Arial" w:eastAsia="Times New Roman" w:hAnsi="Arial" w:cs="Arial"/>
          <w:color w:val="000000"/>
          <w:sz w:val="24"/>
          <w:szCs w:val="24"/>
        </w:rPr>
        <w:t xml:space="preserve"> de o Estado tornar-se ser a dever fazer do governo deve se identificar com o </w:t>
      </w:r>
      <w:proofErr w:type="spellStart"/>
      <w:r w:rsidRPr="0040766B">
        <w:rPr>
          <w:rFonts w:ascii="Arial" w:eastAsia="Times New Roman" w:hAnsi="Arial" w:cs="Arial"/>
          <w:color w:val="000000"/>
          <w:sz w:val="24"/>
          <w:szCs w:val="24"/>
        </w:rPr>
        <w:t>dever-ser</w:t>
      </w:r>
      <w:proofErr w:type="spellEnd"/>
      <w:r w:rsidRPr="0040766B">
        <w:rPr>
          <w:rFonts w:ascii="Arial" w:eastAsia="Times New Roman" w:hAnsi="Arial" w:cs="Arial"/>
          <w:color w:val="000000"/>
          <w:sz w:val="24"/>
          <w:szCs w:val="24"/>
        </w:rPr>
        <w:t xml:space="preserve"> do Estado, tal como e dado a </w:t>
      </w:r>
      <w:proofErr w:type="spellStart"/>
      <w:r w:rsidRPr="0040766B">
        <w:rPr>
          <w:rFonts w:ascii="Arial" w:eastAsia="Times New Roman" w:hAnsi="Arial" w:cs="Arial"/>
          <w:i/>
          <w:iCs/>
          <w:color w:val="000000"/>
          <w:sz w:val="24"/>
          <w:szCs w:val="24"/>
        </w:rPr>
        <w:t>ratio</w:t>
      </w:r>
      <w:proofErr w:type="spellEnd"/>
      <w:r w:rsidRPr="0040766B">
        <w:rPr>
          <w:rFonts w:ascii="Arial" w:eastAsia="Times New Roman" w:hAnsi="Arial" w:cs="Arial"/>
          <w:i/>
          <w:iCs/>
          <w:color w:val="000000"/>
          <w:sz w:val="24"/>
          <w:szCs w:val="24"/>
        </w:rPr>
        <w:t xml:space="preserve"> governamental</w:t>
      </w:r>
      <w:r w:rsidRPr="0040766B">
        <w:rPr>
          <w:rFonts w:ascii="Arial" w:eastAsia="Times New Roman" w:hAnsi="Arial" w:cs="Arial"/>
          <w:color w:val="000000"/>
          <w:sz w:val="24"/>
          <w:szCs w:val="24"/>
        </w:rPr>
        <w:t xml:space="preserve"> e o que possibilitara, de maneira refletida, ponderada, cabulada, fazê-lo passar ao seu máximo de ser, em que governar seria o princípio da razão de Estado e fazer que o Estado possa se tornar solido permanente, tornar forte diante de tudo o que pode destruí-lo</w:t>
      </w:r>
      <w:r w:rsidRPr="0040766B">
        <w:rPr>
          <w:rFonts w:ascii="Arial" w:eastAsia="Times New Roman" w:hAnsi="Arial" w:cs="Arial"/>
          <w:color w:val="000000"/>
          <w:sz w:val="24"/>
          <w:szCs w:val="24"/>
          <w:vertAlign w:val="superscript"/>
        </w:rPr>
        <w:footnoteReference w:id="16"/>
      </w:r>
      <w:r w:rsidRPr="0040766B">
        <w:rPr>
          <w:rFonts w:ascii="Arial" w:eastAsia="Times New Roman" w:hAnsi="Arial" w:cs="Arial"/>
          <w:color w:val="000000"/>
          <w:sz w:val="24"/>
          <w:szCs w:val="24"/>
        </w:rPr>
        <w:t>.</w:t>
      </w:r>
    </w:p>
    <w:p w14:paraId="434493A0" w14:textId="77777777" w:rsidR="00F44328" w:rsidRPr="0040766B" w:rsidRDefault="00F44328" w:rsidP="00F44328">
      <w:pPr>
        <w:tabs>
          <w:tab w:val="left" w:pos="989"/>
        </w:tabs>
        <w:spacing w:after="0" w:line="360" w:lineRule="auto"/>
        <w:jc w:val="both"/>
        <w:rPr>
          <w:rFonts w:ascii="Arial" w:eastAsia="Times New Roman" w:hAnsi="Arial" w:cs="Arial"/>
          <w:color w:val="000000"/>
          <w:sz w:val="24"/>
          <w:szCs w:val="24"/>
        </w:rPr>
      </w:pPr>
      <w:r w:rsidRPr="0040766B">
        <w:rPr>
          <w:rFonts w:ascii="Arial" w:eastAsia="Times New Roman" w:hAnsi="Arial" w:cs="Arial"/>
          <w:color w:val="000000"/>
          <w:sz w:val="24"/>
          <w:szCs w:val="24"/>
        </w:rPr>
        <w:t xml:space="preserve"> </w:t>
      </w:r>
      <w:r w:rsidRPr="0040766B">
        <w:rPr>
          <w:rFonts w:ascii="Arial" w:eastAsia="Times New Roman" w:hAnsi="Arial" w:cs="Arial"/>
          <w:color w:val="000000"/>
          <w:sz w:val="24"/>
          <w:szCs w:val="24"/>
        </w:rPr>
        <w:tab/>
        <w:t>Por outro lado, muito embora a contribuição do marxismo, abordando problemas relacionados à percepção econômica do sistema capitalista de produção, fruto dos arranjos sociais históricos, pois, na visão de Marx e Engels, a burguesia moderna é o produto de um longo desenvolvimento, de uma série de revoluções no modo de produção e de troca</w:t>
      </w:r>
      <w:r w:rsidRPr="0040766B">
        <w:rPr>
          <w:rFonts w:ascii="Arial" w:eastAsia="Times New Roman" w:hAnsi="Arial" w:cs="Arial"/>
          <w:color w:val="000000"/>
          <w:sz w:val="24"/>
          <w:szCs w:val="24"/>
          <w:vertAlign w:val="superscript"/>
        </w:rPr>
        <w:footnoteReference w:id="17"/>
      </w:r>
      <w:r w:rsidRPr="0040766B">
        <w:rPr>
          <w:rFonts w:ascii="Arial" w:eastAsia="Times New Roman" w:hAnsi="Arial" w:cs="Arial"/>
          <w:color w:val="000000"/>
          <w:sz w:val="24"/>
          <w:szCs w:val="24"/>
        </w:rPr>
        <w:t xml:space="preserve">, Foucault sem abandonar seus quadrantes teóricos, busca ir além da dicotomia de classes. </w:t>
      </w:r>
    </w:p>
    <w:p w14:paraId="38E0369E" w14:textId="77777777" w:rsidR="00F44328" w:rsidRPr="00094B1A" w:rsidRDefault="00F44328" w:rsidP="00F44328">
      <w:pPr>
        <w:tabs>
          <w:tab w:val="left" w:pos="989"/>
        </w:tabs>
        <w:spacing w:after="0" w:line="240" w:lineRule="auto"/>
        <w:ind w:left="2268"/>
        <w:jc w:val="both"/>
        <w:rPr>
          <w:rFonts w:ascii="Arial" w:eastAsia="Times New Roman" w:hAnsi="Arial" w:cs="Arial"/>
          <w:sz w:val="20"/>
          <w:szCs w:val="20"/>
        </w:rPr>
      </w:pPr>
      <w:r w:rsidRPr="00094B1A">
        <w:rPr>
          <w:rFonts w:ascii="Arial" w:eastAsia="Times New Roman" w:hAnsi="Arial" w:cs="Arial"/>
          <w:sz w:val="20"/>
          <w:szCs w:val="20"/>
        </w:rPr>
        <w:lastRenderedPageBreak/>
        <w:t xml:space="preserve">O deslocamento do biopoder à biopolítica denota a especificidade desta passagem em Foucault. De um lado o biopoder, o conjunto de mecanismos através dos quais a humanidade, no que diz respeito as suas funções biológicas e vitais, entra, a partir do século XVIII, no campo de intervenção do poder que a objetiva como “população” (as ciências de polícia, a </w:t>
      </w:r>
      <w:proofErr w:type="spellStart"/>
      <w:r w:rsidRPr="00094B1A">
        <w:rPr>
          <w:rFonts w:ascii="Arial" w:eastAsia="Times New Roman" w:hAnsi="Arial" w:cs="Arial"/>
          <w:sz w:val="20"/>
          <w:szCs w:val="20"/>
        </w:rPr>
        <w:t>cameralística</w:t>
      </w:r>
      <w:proofErr w:type="spellEnd"/>
      <w:r w:rsidRPr="00094B1A">
        <w:rPr>
          <w:rFonts w:ascii="Arial" w:eastAsia="Times New Roman" w:hAnsi="Arial" w:cs="Arial"/>
          <w:sz w:val="20"/>
          <w:szCs w:val="20"/>
        </w:rPr>
        <w:t xml:space="preserve">, a estatística; sua referência ao território de competência do soberano, não somente em termos espaciais delimitados pela vigência da lei, senão, justamente, em termos econômicos, demográficos, atuariais; a </w:t>
      </w:r>
      <w:proofErr w:type="spellStart"/>
      <w:r w:rsidRPr="00094B1A">
        <w:rPr>
          <w:rFonts w:ascii="Arial" w:eastAsia="Times New Roman" w:hAnsi="Arial" w:cs="Arial"/>
          <w:sz w:val="20"/>
          <w:szCs w:val="20"/>
        </w:rPr>
        <w:t>ressemantização</w:t>
      </w:r>
      <w:proofErr w:type="spellEnd"/>
      <w:r w:rsidRPr="00094B1A">
        <w:rPr>
          <w:rFonts w:ascii="Arial" w:eastAsia="Times New Roman" w:hAnsi="Arial" w:cs="Arial"/>
          <w:sz w:val="20"/>
          <w:szCs w:val="20"/>
        </w:rPr>
        <w:t xml:space="preserve"> da ciência política a partir dos saberes funcionais ao desenvolvimento da prosperidade e do bem estar dos súditos); do outro, a biopolítica, a aparição na antropologia política sobre a qual a economia se funda, de um sujeito cuja cooperação, como desinência estritamente egoísta e portanto potencialmente entrópica no intercâmbio social global, entrelaça redes de valorização que se dirigem ao Estado, só indiretamente, para pedir a ele que garanta as condições de liberdade sobre as quais são relançadas as dinâmicas aquisitivas e proprietárias que exprimem demandas e necessidades nunca formalizáveis, previsíveis ou totalizáveis desde o ponto de vista daquele</w:t>
      </w:r>
      <w:r w:rsidRPr="00094B1A">
        <w:rPr>
          <w:rFonts w:ascii="Arial" w:eastAsia="Times New Roman" w:hAnsi="Arial" w:cs="Arial"/>
          <w:sz w:val="20"/>
          <w:szCs w:val="20"/>
          <w:vertAlign w:val="superscript"/>
        </w:rPr>
        <w:footnoteReference w:id="18"/>
      </w:r>
      <w:r w:rsidRPr="00094B1A">
        <w:rPr>
          <w:rFonts w:ascii="Arial" w:eastAsia="Times New Roman" w:hAnsi="Arial" w:cs="Arial"/>
          <w:sz w:val="20"/>
          <w:szCs w:val="20"/>
        </w:rPr>
        <w:t>.</w:t>
      </w:r>
    </w:p>
    <w:p w14:paraId="0C9C2EE8" w14:textId="77777777" w:rsidR="00F44328" w:rsidRPr="0040766B" w:rsidRDefault="00F44328" w:rsidP="00F44328">
      <w:pPr>
        <w:tabs>
          <w:tab w:val="left" w:pos="989"/>
        </w:tabs>
        <w:spacing w:after="0" w:line="240" w:lineRule="auto"/>
        <w:jc w:val="both"/>
        <w:rPr>
          <w:rFonts w:ascii="Arial" w:eastAsia="Times New Roman" w:hAnsi="Arial" w:cs="Arial"/>
          <w:sz w:val="24"/>
          <w:szCs w:val="24"/>
        </w:rPr>
      </w:pPr>
    </w:p>
    <w:p w14:paraId="5EC03626" w14:textId="77777777" w:rsidR="00F44328" w:rsidRPr="0040766B" w:rsidRDefault="00F44328" w:rsidP="00F44328">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 xml:space="preserve">Importante destacar que nessa “nova” ordem científica, na qual a tecnologia de biopoder opera, não há o desaparecimento da soberania e muito menos das técnicas disciplinares. Muito pelo contrário, pois estas tecnologias se complementam, embora sejam diferentes, podem se exercer conjuntamente. O que há, é um deslocamento, uma inversão, principalmente da soberania para o biopoder. </w:t>
      </w:r>
    </w:p>
    <w:p w14:paraId="0EEA2EAB" w14:textId="77777777" w:rsidR="00F44328" w:rsidRPr="0040766B" w:rsidRDefault="00F44328" w:rsidP="00F44328">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 xml:space="preserve">O grande deslocamento consiste que na soberania a preocupação era com um território fechado em si mesmo, não havia preocupação com os sujeitos e sim com a riqueza do soberano e com a preservação do território desse soberano, a defesa era focada no território.  Nas sociedades de segurança a ênfase não é mais da ordem do território e de um soberano, não é mais da lei da espada que trata do “fazer morrer e deixar viver”. </w:t>
      </w:r>
    </w:p>
    <w:p w14:paraId="490D07F3" w14:textId="77777777" w:rsidR="00F44328" w:rsidRPr="0040766B" w:rsidRDefault="00F44328" w:rsidP="00F44328">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A ênfase é em uma estratégia de poder de fazer multiplicar a riqueza associada ao crescimento da população, considerando todos os fatores, os riscos, os eventos, os acontecimentos que podem vir a atrapalhar esse crescimento, agindo preventivamente no sentido de evitar que algo atrapalhe a </w:t>
      </w:r>
      <w:r w:rsidRPr="0040766B">
        <w:rPr>
          <w:rFonts w:ascii="Arial" w:eastAsia="Times New Roman" w:hAnsi="Arial" w:cs="Arial"/>
          <w:sz w:val="24"/>
          <w:szCs w:val="24"/>
        </w:rPr>
        <w:lastRenderedPageBreak/>
        <w:t>realização das finalidades políticas e o crescimento do Estado. Uma estratégia biopolítica de defesa da sociedade</w:t>
      </w:r>
      <w:r w:rsidRPr="0040766B">
        <w:rPr>
          <w:rFonts w:ascii="Arial" w:eastAsia="Times New Roman" w:hAnsi="Arial" w:cs="Arial"/>
          <w:sz w:val="24"/>
          <w:szCs w:val="24"/>
          <w:vertAlign w:val="superscript"/>
        </w:rPr>
        <w:footnoteReference w:id="19"/>
      </w:r>
      <w:r w:rsidRPr="0040766B">
        <w:rPr>
          <w:rFonts w:ascii="Arial" w:eastAsia="Times New Roman" w:hAnsi="Arial" w:cs="Arial"/>
          <w:sz w:val="24"/>
          <w:szCs w:val="24"/>
        </w:rPr>
        <w:t xml:space="preserve">. </w:t>
      </w:r>
    </w:p>
    <w:p w14:paraId="7AD5B135" w14:textId="77777777" w:rsidR="00B76E68" w:rsidRPr="002C413A" w:rsidRDefault="00B76E68" w:rsidP="00B76E68">
      <w:pPr>
        <w:spacing w:after="0" w:line="360" w:lineRule="auto"/>
        <w:jc w:val="both"/>
        <w:rPr>
          <w:rFonts w:ascii="Arial" w:hAnsi="Arial" w:cs="Arial"/>
          <w:sz w:val="24"/>
          <w:szCs w:val="24"/>
          <w:lang w:val="en-US"/>
        </w:rPr>
      </w:pPr>
    </w:p>
    <w:p w14:paraId="494182A6" w14:textId="642010C0" w:rsidR="002C413A" w:rsidRPr="00094B1A" w:rsidRDefault="00094B1A" w:rsidP="00FC53A2">
      <w:pPr>
        <w:pStyle w:val="PargrafodaLista"/>
        <w:numPr>
          <w:ilvl w:val="0"/>
          <w:numId w:val="39"/>
        </w:numPr>
        <w:spacing w:after="0" w:line="360" w:lineRule="auto"/>
        <w:jc w:val="both"/>
        <w:rPr>
          <w:rFonts w:ascii="Arial" w:hAnsi="Arial" w:cs="Arial"/>
          <w:b/>
          <w:bCs/>
          <w:sz w:val="24"/>
          <w:szCs w:val="24"/>
          <w:lang w:val="en-US"/>
        </w:rPr>
      </w:pPr>
      <w:r w:rsidRPr="0040766B">
        <w:rPr>
          <w:rFonts w:ascii="Arial" w:eastAsia="Times New Roman" w:hAnsi="Arial" w:cs="Arial"/>
          <w:b/>
          <w:bCs/>
          <w:sz w:val="24"/>
          <w:szCs w:val="24"/>
        </w:rPr>
        <w:t>AS PRECAUÇÕES METODOLÓGICAS EM FOUCAULT</w:t>
      </w:r>
    </w:p>
    <w:p w14:paraId="7F9E5E8C" w14:textId="77777777" w:rsidR="00094B1A" w:rsidRDefault="00094B1A" w:rsidP="00094B1A">
      <w:pPr>
        <w:spacing w:after="0" w:line="360" w:lineRule="auto"/>
        <w:jc w:val="both"/>
        <w:rPr>
          <w:rFonts w:ascii="Arial" w:hAnsi="Arial" w:cs="Arial"/>
          <w:b/>
          <w:bCs/>
          <w:sz w:val="24"/>
          <w:szCs w:val="24"/>
          <w:lang w:val="en-US"/>
        </w:rPr>
      </w:pPr>
    </w:p>
    <w:p w14:paraId="0A28340D" w14:textId="77777777" w:rsidR="00094B1A" w:rsidRPr="0040766B" w:rsidRDefault="00094B1A" w:rsidP="00094B1A">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Na racionalidade neoliberal</w:t>
      </w:r>
      <w:r w:rsidRPr="0040766B">
        <w:rPr>
          <w:rFonts w:ascii="Arial" w:eastAsia="Times New Roman" w:hAnsi="Arial" w:cs="Arial"/>
          <w:sz w:val="24"/>
          <w:szCs w:val="24"/>
          <w:vertAlign w:val="superscript"/>
        </w:rPr>
        <w:footnoteReference w:id="20"/>
      </w:r>
      <w:r w:rsidRPr="0040766B">
        <w:rPr>
          <w:rFonts w:ascii="Arial" w:eastAsia="Times New Roman" w:hAnsi="Arial" w:cs="Arial"/>
          <w:sz w:val="24"/>
          <w:szCs w:val="24"/>
        </w:rPr>
        <w:t xml:space="preserve">, os princípios do mercado se tornam princípios de governo aplicados pelo e no Estado, mas também que circulam através de instituições e entidades em toda a sociedade escolas, locais de trabalho, clínicas etc. Esses princípios tornam-se princípios de realidade que saturam e governam cada esfera da existência e reorientam o próprio </w:t>
      </w:r>
      <w:r w:rsidRPr="0040766B">
        <w:rPr>
          <w:rFonts w:ascii="Arial" w:eastAsia="Times New Roman" w:hAnsi="Arial" w:cs="Arial"/>
          <w:i/>
          <w:iCs/>
          <w:sz w:val="24"/>
          <w:szCs w:val="24"/>
        </w:rPr>
        <w:t xml:space="preserve">homem </w:t>
      </w:r>
      <w:proofErr w:type="spellStart"/>
      <w:r w:rsidRPr="0040766B">
        <w:rPr>
          <w:rFonts w:ascii="Arial" w:eastAsia="Times New Roman" w:hAnsi="Arial" w:cs="Arial"/>
          <w:i/>
          <w:iCs/>
          <w:sz w:val="24"/>
          <w:szCs w:val="24"/>
        </w:rPr>
        <w:t>economicus</w:t>
      </w:r>
      <w:proofErr w:type="spellEnd"/>
      <w:r w:rsidRPr="0040766B">
        <w:rPr>
          <w:rFonts w:ascii="Arial" w:eastAsia="Times New Roman" w:hAnsi="Arial" w:cs="Arial"/>
          <w:sz w:val="24"/>
          <w:szCs w:val="24"/>
        </w:rPr>
        <w:t xml:space="preserve">, transformando-o de um sujeito da troca e da satisfação das necessidades (liberalismo clássico).  </w:t>
      </w:r>
    </w:p>
    <w:p w14:paraId="43618E05" w14:textId="77777777" w:rsidR="00094B1A" w:rsidRPr="0040766B" w:rsidRDefault="00094B1A" w:rsidP="00094B1A">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Os mercados competitivos necessitam de suporte político e, portanto, de uma nova forma do que ele chama de "governamentalização"</w:t>
      </w:r>
      <w:r w:rsidRPr="0040766B">
        <w:rPr>
          <w:rFonts w:ascii="Arial" w:eastAsia="Times New Roman" w:hAnsi="Arial" w:cs="Arial"/>
          <w:sz w:val="24"/>
          <w:szCs w:val="24"/>
          <w:vertAlign w:val="superscript"/>
        </w:rPr>
        <w:footnoteReference w:id="21"/>
      </w:r>
      <w:r w:rsidRPr="0040766B">
        <w:rPr>
          <w:rFonts w:ascii="Arial" w:eastAsia="Times New Roman" w:hAnsi="Arial" w:cs="Arial"/>
          <w:sz w:val="24"/>
          <w:szCs w:val="24"/>
        </w:rPr>
        <w:t xml:space="preserve"> do Estado</w:t>
      </w:r>
      <w:r w:rsidRPr="0040766B">
        <w:rPr>
          <w:rFonts w:ascii="Arial" w:eastAsia="Times New Roman" w:hAnsi="Arial" w:cs="Arial"/>
          <w:sz w:val="24"/>
          <w:szCs w:val="24"/>
          <w:vertAlign w:val="superscript"/>
        </w:rPr>
        <w:footnoteReference w:id="22"/>
      </w:r>
      <w:r w:rsidRPr="0040766B">
        <w:rPr>
          <w:rFonts w:ascii="Arial" w:eastAsia="Times New Roman" w:hAnsi="Arial" w:cs="Arial"/>
          <w:sz w:val="24"/>
          <w:szCs w:val="24"/>
        </w:rPr>
        <w:t>. O termo “governamentalidade” foi introduzido precisamente para significar as múltiplas formas dessa atividade pela quais os homens, que podem ou não pertencer a um governo, busca conduzir a conduta de outros homens, isto é, governá-los.</w:t>
      </w:r>
      <w:r w:rsidRPr="0040766B">
        <w:rPr>
          <w:rFonts w:ascii="Arial" w:eastAsia="Times New Roman" w:hAnsi="Arial" w:cs="Arial"/>
          <w:sz w:val="24"/>
          <w:szCs w:val="24"/>
          <w:vertAlign w:val="superscript"/>
        </w:rPr>
        <w:footnoteReference w:id="23"/>
      </w:r>
      <w:r w:rsidRPr="0040766B">
        <w:rPr>
          <w:rFonts w:ascii="Arial" w:eastAsia="Times New Roman" w:hAnsi="Arial" w:cs="Arial"/>
          <w:sz w:val="24"/>
          <w:szCs w:val="24"/>
        </w:rPr>
        <w:t>.</w:t>
      </w:r>
    </w:p>
    <w:p w14:paraId="1092319B" w14:textId="77777777" w:rsidR="00094B1A" w:rsidRPr="0040766B" w:rsidRDefault="00094B1A" w:rsidP="00094B1A">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lastRenderedPageBreak/>
        <w:t xml:space="preserve"> </w:t>
      </w:r>
      <w:r w:rsidRPr="0040766B">
        <w:rPr>
          <w:rFonts w:ascii="Arial" w:eastAsia="Times New Roman" w:hAnsi="Arial" w:cs="Arial"/>
          <w:sz w:val="24"/>
          <w:szCs w:val="24"/>
        </w:rPr>
        <w:tab/>
        <w:t xml:space="preserve">A terminologia Governamentalidade foi a 4ª aula ministrada por Michel Foucault no conhecido curso do </w:t>
      </w:r>
      <w:proofErr w:type="spellStart"/>
      <w:r w:rsidRPr="0040766B">
        <w:rPr>
          <w:rFonts w:ascii="Arial" w:eastAsia="Times New Roman" w:hAnsi="Arial" w:cs="Arial"/>
          <w:i/>
          <w:iCs/>
          <w:sz w:val="24"/>
          <w:szCs w:val="24"/>
        </w:rPr>
        <w:t>Collège</w:t>
      </w:r>
      <w:proofErr w:type="spellEnd"/>
      <w:r w:rsidRPr="0040766B">
        <w:rPr>
          <w:rFonts w:ascii="Arial" w:eastAsia="Times New Roman" w:hAnsi="Arial" w:cs="Arial"/>
          <w:i/>
          <w:iCs/>
          <w:sz w:val="24"/>
          <w:szCs w:val="24"/>
        </w:rPr>
        <w:t xml:space="preserve"> de France</w:t>
      </w:r>
      <w:r w:rsidRPr="0040766B">
        <w:rPr>
          <w:rFonts w:ascii="Arial" w:eastAsia="Times New Roman" w:hAnsi="Arial" w:cs="Arial"/>
          <w:sz w:val="24"/>
          <w:szCs w:val="24"/>
        </w:rPr>
        <w:t xml:space="preserve"> (1978). Durante o curso, Foucault se interessa em tratar do problema do governo realizando uma genealogia da formação da governamentalidade no Ocidente. Diante de tal tarefa, na 4ª aula, Foucault analisa a literatura sobre o governo e sobre a “arte de governar” que explodiu no século XVI e que se estenderá até o final do século XVIII</w:t>
      </w:r>
      <w:r w:rsidRPr="0040766B">
        <w:rPr>
          <w:rFonts w:ascii="Arial" w:eastAsia="Times New Roman" w:hAnsi="Arial" w:cs="Arial"/>
          <w:sz w:val="24"/>
          <w:szCs w:val="24"/>
          <w:vertAlign w:val="superscript"/>
        </w:rPr>
        <w:footnoteReference w:id="24"/>
      </w:r>
      <w:r w:rsidRPr="0040766B">
        <w:rPr>
          <w:rFonts w:ascii="Arial" w:eastAsia="Times New Roman" w:hAnsi="Arial" w:cs="Arial"/>
          <w:sz w:val="24"/>
          <w:szCs w:val="24"/>
        </w:rPr>
        <w:t>.</w:t>
      </w:r>
    </w:p>
    <w:p w14:paraId="5385CE57" w14:textId="77777777" w:rsidR="00094B1A" w:rsidRPr="0040766B" w:rsidRDefault="00094B1A" w:rsidP="00094B1A">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Sendo assim, novas estratégias de controle, até certo ponto menos rígidas, em conformidade com as demandas de segurança e da sociedade, fazem com que a toupeira monetária dos meios de confinamento e a serpente de controle do direito penal, com suas ondulações e espécies, demarcam as modulações das mudanças jurídicas do tecido social, que vão do corpo – suplicio a economia política de punir aos dados da máquina algorítmica de controle numérico</w:t>
      </w:r>
      <w:r w:rsidRPr="0040766B">
        <w:rPr>
          <w:rFonts w:ascii="Arial" w:eastAsia="Times New Roman" w:hAnsi="Arial" w:cs="Arial"/>
          <w:sz w:val="24"/>
          <w:szCs w:val="24"/>
          <w:vertAlign w:val="superscript"/>
        </w:rPr>
        <w:footnoteReference w:id="25"/>
      </w:r>
      <w:r w:rsidRPr="0040766B">
        <w:rPr>
          <w:rFonts w:ascii="Arial" w:eastAsia="Times New Roman" w:hAnsi="Arial" w:cs="Arial"/>
          <w:sz w:val="24"/>
          <w:szCs w:val="24"/>
        </w:rPr>
        <w:t xml:space="preserve">. </w:t>
      </w:r>
    </w:p>
    <w:p w14:paraId="4F49C0F0" w14:textId="77777777" w:rsidR="00094B1A" w:rsidRPr="0040766B" w:rsidRDefault="00094B1A" w:rsidP="00094B1A">
      <w:pPr>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Michael Foucault chama a atenção para cinco precauções que configuram uma síntese a respeito do poder, do Estado e do Direito; primeiro, ao postular uma compreensão da microfísica do poder com a finalidade de inverter o itinerário da análise do discurso jurídico, fazendo busca o fato da dominação no seu íntimo/brutalidade, o direito não apenas como instrumento oriundo dessa dominação, mas até que ponto do direito, no conjunto de aparelhos, instituições e regulamentos teria aplicação prática há um grupo especifico e amplas formas de exercício, independente da questão jurídica</w:t>
      </w:r>
      <w:r w:rsidRPr="0040766B">
        <w:rPr>
          <w:rFonts w:ascii="Arial" w:eastAsia="Times New Roman" w:hAnsi="Arial" w:cs="Arial"/>
          <w:sz w:val="24"/>
          <w:szCs w:val="24"/>
          <w:vertAlign w:val="superscript"/>
        </w:rPr>
        <w:footnoteReference w:id="26"/>
      </w:r>
      <w:r w:rsidRPr="0040766B">
        <w:rPr>
          <w:rFonts w:ascii="Arial" w:eastAsia="Times New Roman" w:hAnsi="Arial" w:cs="Arial"/>
          <w:sz w:val="24"/>
          <w:szCs w:val="24"/>
        </w:rPr>
        <w:t xml:space="preserve">. </w:t>
      </w:r>
    </w:p>
    <w:p w14:paraId="5B7B8F27" w14:textId="77777777" w:rsidR="00094B1A" w:rsidRPr="0040766B" w:rsidRDefault="00094B1A" w:rsidP="00094B1A">
      <w:pPr>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Partindo de uma edificação teórica acerca da teoria jurídica da soberania, Foucault, lança em “A defesa da sociedade”, o seguinte questionamento partindo da premissa de um “</w:t>
      </w:r>
      <w:proofErr w:type="spellStart"/>
      <w:r w:rsidRPr="0040766B">
        <w:rPr>
          <w:rFonts w:ascii="Arial" w:eastAsia="Times New Roman" w:hAnsi="Arial" w:cs="Arial"/>
          <w:sz w:val="24"/>
          <w:szCs w:val="24"/>
        </w:rPr>
        <w:t>economismo</w:t>
      </w:r>
      <w:proofErr w:type="spellEnd"/>
      <w:r w:rsidRPr="0040766B">
        <w:rPr>
          <w:rFonts w:ascii="Arial" w:eastAsia="Times New Roman" w:hAnsi="Arial" w:cs="Arial"/>
          <w:sz w:val="24"/>
          <w:szCs w:val="24"/>
        </w:rPr>
        <w:t xml:space="preserve">" na teoria do poder. No caso da teoria jurídica clássica do poder, o poder e considerado o direito do qual se seria possuidor como um, bem, e que se poderia, em consequência, transferir ou alienar, de urna </w:t>
      </w:r>
      <w:r w:rsidRPr="0040766B">
        <w:rPr>
          <w:rFonts w:ascii="Arial" w:eastAsia="Times New Roman" w:hAnsi="Arial" w:cs="Arial"/>
          <w:sz w:val="24"/>
          <w:szCs w:val="24"/>
        </w:rPr>
        <w:lastRenderedPageBreak/>
        <w:t>forma total ou parcial, mediante um ato jurídico ou um ato fundador de direito, a partir de uma relação de troca contratual</w:t>
      </w:r>
      <w:r w:rsidRPr="0040766B">
        <w:rPr>
          <w:rFonts w:ascii="Arial" w:eastAsia="Times New Roman" w:hAnsi="Arial" w:cs="Arial"/>
          <w:sz w:val="24"/>
          <w:szCs w:val="24"/>
          <w:vertAlign w:val="superscript"/>
        </w:rPr>
        <w:footnoteReference w:id="27"/>
      </w:r>
      <w:r w:rsidRPr="0040766B">
        <w:rPr>
          <w:rFonts w:ascii="Arial" w:eastAsia="Times New Roman" w:hAnsi="Arial" w:cs="Arial"/>
          <w:sz w:val="24"/>
          <w:szCs w:val="24"/>
        </w:rPr>
        <w:t>.</w:t>
      </w:r>
    </w:p>
    <w:p w14:paraId="2E2FAE73" w14:textId="77777777" w:rsidR="00094B1A" w:rsidRPr="0040766B" w:rsidRDefault="00094B1A" w:rsidP="00094B1A">
      <w:pPr>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Por outro lado, nas sociedades ocidentais, desde a Idade Média, a elaboração do pensamento jurídico se fez essencialmente em tomo do poder régio, do edifício jurídico ao redor da personagem régia, a pedido e em favor do poder régio (poder do rei). O monarca era o corpo vivo da soberania, ao mesmo tempo em que devia limitar esse poder soberano. O problema maior da teoria do direito é fixar a legitimidade do poder tendo como problema central a soberania</w:t>
      </w:r>
      <w:r w:rsidRPr="0040766B">
        <w:rPr>
          <w:rFonts w:ascii="Arial" w:eastAsia="Times New Roman" w:hAnsi="Arial" w:cs="Arial"/>
          <w:sz w:val="24"/>
          <w:szCs w:val="24"/>
          <w:vertAlign w:val="superscript"/>
        </w:rPr>
        <w:footnoteReference w:id="28"/>
      </w:r>
      <w:r w:rsidRPr="0040766B">
        <w:rPr>
          <w:rFonts w:ascii="Arial" w:eastAsia="Times New Roman" w:hAnsi="Arial" w:cs="Arial"/>
          <w:sz w:val="24"/>
          <w:szCs w:val="24"/>
        </w:rPr>
        <w:t xml:space="preserve">. </w:t>
      </w:r>
    </w:p>
    <w:p w14:paraId="76443F1A" w14:textId="77777777" w:rsidR="00094B1A" w:rsidRPr="0040766B" w:rsidRDefault="00094B1A" w:rsidP="00094B1A">
      <w:pPr>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Portanto, não o rei em sua posição central, mas os súditos em suas relações recíprocas: não a soberania em seu edifício único, mas as múltiplas sujeições existentes no interior do corpo social. Os sistemas do direito funcionariam como canais permanentes de relações de dominação, assim como, técnicas de sujeições polimorfas, enquanto um procedimento de sujeição que põe em prática, que ele desencadeia no corpo social. </w:t>
      </w:r>
    </w:p>
    <w:p w14:paraId="3335B3AB" w14:textId="77777777" w:rsidR="00094B1A" w:rsidRPr="00094B1A" w:rsidRDefault="00094B1A" w:rsidP="00094B1A">
      <w:pPr>
        <w:spacing w:after="0" w:line="240" w:lineRule="auto"/>
        <w:ind w:left="2268"/>
        <w:jc w:val="both"/>
        <w:rPr>
          <w:rFonts w:ascii="Arial" w:eastAsia="Times New Roman" w:hAnsi="Arial" w:cs="Arial"/>
          <w:sz w:val="20"/>
          <w:szCs w:val="20"/>
        </w:rPr>
      </w:pPr>
      <w:r w:rsidRPr="00094B1A">
        <w:rPr>
          <w:rFonts w:ascii="Arial" w:eastAsia="Times New Roman" w:hAnsi="Arial" w:cs="Arial"/>
          <w:sz w:val="20"/>
          <w:szCs w:val="20"/>
        </w:rPr>
        <w:t>Trata-se de apreender, ao contrário, o poder em suas extremidades, em seus últimos lineamentos, onde ele se toma capilar; ou seja: tomar o poder em suas formas e em suas instituições mais regionais, mais locais, sobretudo no ponto em que esse poder, indo além das regras de direito que o organizam e o delimitam, se prolonga, em consequência, mais além dessas regras, investe-se em instituições, consolida-se nas técnicas e fornece instrumentos de intervenção materiais, eventualmente até violentos. Um exemplo, se vocês quiserem: em vez de procurar saber onde e como na soberania, tal como ela e apresentada pela filosofia, seja do direito monárquico, ou seja, do direito democrático, se ·fundamenta o poder de punir, tentei ver como, efetiva mente, a punição, o poder de punir consolidavam-se num  certo número de instituições locais, regionais, materiais, seja o suplício ou seja o aprisionamento, e isto no mundo a um só tempo institucional, físico, regulamentar e violento dos aparelhos efetivos da punição. Em outras palavras, apreender o poder sob o aspecto da extremidade cada vez menos jurídica de seu exercício: era a primeira instrução dada (FOUCAULT, 1976, p. 32)</w:t>
      </w:r>
    </w:p>
    <w:p w14:paraId="2E3A7E44" w14:textId="77777777" w:rsidR="00094B1A" w:rsidRPr="0040766B" w:rsidRDefault="00094B1A" w:rsidP="00094B1A">
      <w:pPr>
        <w:spacing w:after="0" w:line="240" w:lineRule="auto"/>
        <w:ind w:left="2268"/>
        <w:jc w:val="both"/>
        <w:rPr>
          <w:rFonts w:ascii="Arial" w:eastAsia="Times New Roman" w:hAnsi="Arial" w:cs="Arial"/>
          <w:sz w:val="24"/>
          <w:szCs w:val="24"/>
        </w:rPr>
      </w:pPr>
    </w:p>
    <w:p w14:paraId="150AB3B3" w14:textId="77777777" w:rsidR="00094B1A" w:rsidRPr="0040766B" w:rsidRDefault="00094B1A" w:rsidP="00094B1A">
      <w:pPr>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Nesse aspecto, a segunda precaução metodológica adotada pelo autor Francês, seria necessário entender o poder não pela via jurídica, mas pela face externa, em que implanta e produz seus efeitos reais, a partir da análise do poder em seu nível do processo de sujeição e constituição aos súditos, a multiplicidade dos corpos, das forças, das energias, das matérias, dos desejos, dos pensamentos, dos gestos, nesses processos contínuos e ininterruptos, em outras palavras, o poder não aparece no alto do soberano, mas nos seus labirintos</w:t>
      </w:r>
      <w:r w:rsidRPr="0040766B">
        <w:rPr>
          <w:rFonts w:ascii="Arial" w:eastAsia="Times New Roman" w:hAnsi="Arial" w:cs="Arial"/>
          <w:sz w:val="24"/>
          <w:szCs w:val="24"/>
          <w:vertAlign w:val="superscript"/>
        </w:rPr>
        <w:footnoteReference w:id="29"/>
      </w:r>
      <w:r w:rsidRPr="0040766B">
        <w:rPr>
          <w:rFonts w:ascii="Arial" w:eastAsia="Times New Roman" w:hAnsi="Arial" w:cs="Arial"/>
          <w:sz w:val="24"/>
          <w:szCs w:val="24"/>
        </w:rPr>
        <w:t xml:space="preserve">. </w:t>
      </w:r>
    </w:p>
    <w:p w14:paraId="569C87F5" w14:textId="77777777" w:rsidR="00094B1A" w:rsidRPr="0040766B" w:rsidRDefault="00094B1A" w:rsidP="00094B1A">
      <w:pPr>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Ao contrário dos juristas que buscam na multiplicidade dos indivíduos/ vontades em um corpo único/vontade única, movida por uma alma (a soberania), baseada em Hobbes (Leviatã)</w:t>
      </w:r>
      <w:r w:rsidRPr="0040766B">
        <w:rPr>
          <w:rFonts w:ascii="Arial" w:eastAsia="Times New Roman" w:hAnsi="Arial" w:cs="Arial"/>
          <w:sz w:val="24"/>
          <w:szCs w:val="24"/>
          <w:vertAlign w:val="superscript"/>
        </w:rPr>
        <w:footnoteReference w:id="30"/>
      </w:r>
      <w:r w:rsidRPr="0040766B">
        <w:rPr>
          <w:rFonts w:ascii="Arial" w:eastAsia="Times New Roman" w:hAnsi="Arial" w:cs="Arial"/>
          <w:sz w:val="24"/>
          <w:szCs w:val="24"/>
        </w:rPr>
        <w:t xml:space="preserve">, mas tendo como premissa os corpos periféricos, múltiplos, constituídos como sujeitos pelos efeitos de poder físico, regulamentar e violento dos aparelhos punitivos. </w:t>
      </w:r>
    </w:p>
    <w:p w14:paraId="4E18A91B" w14:textId="77777777" w:rsidR="00094B1A" w:rsidRPr="0040766B" w:rsidRDefault="00094B1A" w:rsidP="00094B1A">
      <w:pPr>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Na terceira precaução Foucault dirá que o poder não é um fenômeno binário de uma classe sobre as outras, em que os indivíduos seriam totais, submetidos uns sobre os outros O poder deverá ser analisado como algo que circula, funcionando em cadeia, jamais apossado como uma riqueza ou bem. O poder se exerce em rede, transitando pelos indivíduos, não se aplicando a eles. Em linhas gerais, o poder transita pelo indivíduo que ele constitui (efeito do poder)</w:t>
      </w:r>
      <w:r w:rsidRPr="0040766B">
        <w:rPr>
          <w:rFonts w:ascii="Arial" w:eastAsia="Times New Roman" w:hAnsi="Arial" w:cs="Arial"/>
          <w:sz w:val="24"/>
          <w:szCs w:val="24"/>
          <w:vertAlign w:val="superscript"/>
        </w:rPr>
        <w:footnoteReference w:id="31"/>
      </w:r>
      <w:r w:rsidRPr="0040766B">
        <w:rPr>
          <w:rFonts w:ascii="Arial" w:eastAsia="Times New Roman" w:hAnsi="Arial" w:cs="Arial"/>
          <w:sz w:val="24"/>
          <w:szCs w:val="24"/>
        </w:rPr>
        <w:t xml:space="preserve">. </w:t>
      </w:r>
    </w:p>
    <w:p w14:paraId="231C4841" w14:textId="77777777" w:rsidR="00094B1A" w:rsidRPr="0040766B" w:rsidRDefault="00094B1A" w:rsidP="00094B1A">
      <w:pPr>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lastRenderedPageBreak/>
        <w:t xml:space="preserve"> </w:t>
      </w:r>
      <w:r w:rsidRPr="0040766B">
        <w:rPr>
          <w:rFonts w:ascii="Arial" w:eastAsia="Times New Roman" w:hAnsi="Arial" w:cs="Arial"/>
          <w:sz w:val="24"/>
          <w:szCs w:val="24"/>
        </w:rPr>
        <w:tab/>
        <w:t>Em relação à quarta precaução, Foucault destaca que “todos nós temos fascismo na cabeça”, ou melhor, “todos nós temos poder no corpo, que transita ou transmuda pelo corpo. Deve-se fazer uma análise ascendente (poder), partindo da premissa acerca dos mecanismos infinitesimais que têm uma história, caminho, técnicas e tática, de modo há examinar como estes mecanismos foram e ainda são investidos, por mecanismos gerais de tecnologia de poder levando em conta a maneira como os fenômenos, as técnicas e os procedimentos de poder atuam se expandem e modificam. De tal modo que,</w:t>
      </w:r>
    </w:p>
    <w:p w14:paraId="0F0C981E" w14:textId="77777777" w:rsidR="00094B1A" w:rsidRPr="00094B1A" w:rsidRDefault="00094B1A" w:rsidP="00094B1A">
      <w:pPr>
        <w:spacing w:after="0" w:line="240" w:lineRule="auto"/>
        <w:ind w:left="2268"/>
        <w:jc w:val="both"/>
        <w:rPr>
          <w:rFonts w:ascii="Arial" w:eastAsia="Times New Roman" w:hAnsi="Arial" w:cs="Arial"/>
          <w:sz w:val="20"/>
          <w:szCs w:val="20"/>
        </w:rPr>
      </w:pPr>
      <w:r w:rsidRPr="00094B1A">
        <w:rPr>
          <w:rFonts w:ascii="Arial" w:eastAsia="Times New Roman" w:hAnsi="Arial" w:cs="Arial"/>
          <w:sz w:val="20"/>
          <w:szCs w:val="20"/>
        </w:rPr>
        <w:t>Creio que se pode deduzir qualquer coisa do fenômeno geral da dominação da classe burguesa. Parece-me que o que se deve fazer e o inverso, ou seja, ver como, historicamente, partindo de baixo, os mecanismos de controle puderam intervir no tocante a exclusão o da loucura, a repressão, a proibição da sexualidade; como, no nível efetivo da família, do círculo imediato, das células, ou nos níveis mais baixos da sociedade, estes fenômenos, de repressão ou de exclusão, tiveram seus instrumentos, sua lógica, corresponderam a certo número de necessidades; mostrar quais foram os seus agentes, e procurar esses agentes não, de modo algum, no âmbito da burguesia em geral, mas dos agentes reais, que podem ter sido o círculo imediato, a família, os pais, os médicos, o escalão mais baixo da polícia, etc.; e como esses mecanismos de poder, em dado momento, numa conjuntura precisa, e mediante certo número de transformações, começaram a tomar-se economicamente lucrativos e politicamente úteis</w:t>
      </w:r>
      <w:r w:rsidRPr="00094B1A">
        <w:rPr>
          <w:rFonts w:ascii="Arial" w:eastAsia="Times New Roman" w:hAnsi="Arial" w:cs="Arial"/>
          <w:sz w:val="20"/>
          <w:szCs w:val="20"/>
          <w:vertAlign w:val="superscript"/>
        </w:rPr>
        <w:footnoteReference w:id="32"/>
      </w:r>
      <w:r w:rsidRPr="00094B1A">
        <w:rPr>
          <w:rFonts w:ascii="Arial" w:eastAsia="Times New Roman" w:hAnsi="Arial" w:cs="Arial"/>
          <w:sz w:val="20"/>
          <w:szCs w:val="20"/>
        </w:rPr>
        <w:t>.</w:t>
      </w:r>
    </w:p>
    <w:p w14:paraId="71347AB5" w14:textId="77777777" w:rsidR="00094B1A" w:rsidRPr="0040766B" w:rsidRDefault="00094B1A" w:rsidP="00094B1A">
      <w:pPr>
        <w:spacing w:after="0" w:line="240" w:lineRule="auto"/>
        <w:ind w:left="2268"/>
        <w:jc w:val="both"/>
        <w:rPr>
          <w:rFonts w:ascii="Arial" w:eastAsia="Times New Roman" w:hAnsi="Arial" w:cs="Arial"/>
          <w:sz w:val="24"/>
          <w:szCs w:val="24"/>
        </w:rPr>
      </w:pPr>
    </w:p>
    <w:p w14:paraId="05545A5C" w14:textId="77777777" w:rsidR="00094B1A" w:rsidRPr="0040766B" w:rsidRDefault="00094B1A" w:rsidP="00094B1A">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ab/>
        <w:t>A título de exemplo, em a Sociedade Punitiva, Foucault, destaca a partir de uma análise econômica da delinquência no século XVIII.  Descrições da população dos "ladrões" etc., hem como uma análise da pobreza e da mendicidade, além de uma crítica dos meios de assistência utilizados desde a Idade Média para aliviar a pobreza e reduzir a mendicidade: meios privados, eclesiásticos ou medidas legislativas.</w:t>
      </w:r>
    </w:p>
    <w:p w14:paraId="101B1E6B" w14:textId="77777777" w:rsidR="00094B1A" w:rsidRPr="0040766B" w:rsidRDefault="00094B1A" w:rsidP="00094B1A">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A análise na vertente foucaultiana incide sobre a delinquência em termos de economia política no sentido estrito. É a própria posição do delinquente relativamente à produção que o define como inimigo público</w:t>
      </w:r>
      <w:r w:rsidRPr="0040766B">
        <w:rPr>
          <w:rFonts w:ascii="Arial" w:hAnsi="Arial" w:cs="Arial"/>
          <w:sz w:val="24"/>
          <w:szCs w:val="24"/>
        </w:rPr>
        <w:t xml:space="preserve"> </w:t>
      </w:r>
      <w:r w:rsidRPr="0040766B">
        <w:rPr>
          <w:rFonts w:ascii="Arial" w:eastAsia="Times New Roman" w:hAnsi="Arial" w:cs="Arial"/>
          <w:sz w:val="24"/>
          <w:szCs w:val="24"/>
        </w:rPr>
        <w:t>o papel e a função da delinquência; não em relação ao consumo, à massa de bens disponíveis, mas em relação aos mecanismos e processos de produção</w:t>
      </w:r>
      <w:r w:rsidRPr="0040766B">
        <w:rPr>
          <w:rFonts w:ascii="Arial" w:eastAsia="Times New Roman" w:hAnsi="Arial" w:cs="Arial"/>
          <w:sz w:val="24"/>
          <w:szCs w:val="24"/>
          <w:vertAlign w:val="superscript"/>
        </w:rPr>
        <w:footnoteReference w:id="33"/>
      </w:r>
      <w:r w:rsidRPr="0040766B">
        <w:rPr>
          <w:rFonts w:ascii="Arial" w:eastAsia="Times New Roman" w:hAnsi="Arial" w:cs="Arial"/>
          <w:sz w:val="24"/>
          <w:szCs w:val="24"/>
        </w:rPr>
        <w:t>.</w:t>
      </w:r>
    </w:p>
    <w:p w14:paraId="7B6A9BAD" w14:textId="77777777" w:rsidR="00094B1A" w:rsidRDefault="00094B1A" w:rsidP="00094B1A">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Por fim, a quinta precaução metodológica cuida da possibilidade das grandes máquinas de poder e seu acompanhamento pelas produções ideológicas. Houve uma tendência, por exemplo, na criação de uma ideologia da </w:t>
      </w:r>
      <w:r w:rsidRPr="0040766B">
        <w:rPr>
          <w:rFonts w:ascii="Arial" w:eastAsia="Times New Roman" w:hAnsi="Arial" w:cs="Arial"/>
          <w:sz w:val="24"/>
          <w:szCs w:val="24"/>
        </w:rPr>
        <w:lastRenderedPageBreak/>
        <w:t>educação; uma ideologia do poder monárquico, uma ideologia da democracia parlamentar; contudo, a base não estaria fixada somente pelo critério da ideologia. Sendo assim, ensina Foucault</w:t>
      </w:r>
      <w:r w:rsidRPr="0040766B">
        <w:rPr>
          <w:rFonts w:ascii="Arial" w:eastAsia="Times New Roman" w:hAnsi="Arial" w:cs="Arial"/>
          <w:sz w:val="24"/>
          <w:szCs w:val="24"/>
          <w:vertAlign w:val="superscript"/>
        </w:rPr>
        <w:footnoteReference w:id="34"/>
      </w:r>
      <w:r w:rsidRPr="0040766B">
        <w:rPr>
          <w:rFonts w:ascii="Arial" w:eastAsia="Times New Roman" w:hAnsi="Arial" w:cs="Arial"/>
          <w:sz w:val="24"/>
          <w:szCs w:val="24"/>
        </w:rPr>
        <w:t xml:space="preserve">: </w:t>
      </w:r>
    </w:p>
    <w:p w14:paraId="4A626191" w14:textId="77777777" w:rsidR="00094B1A" w:rsidRPr="0040766B" w:rsidRDefault="00094B1A" w:rsidP="00094B1A">
      <w:pPr>
        <w:tabs>
          <w:tab w:val="left" w:pos="989"/>
        </w:tabs>
        <w:spacing w:after="0" w:line="360" w:lineRule="auto"/>
        <w:jc w:val="both"/>
        <w:rPr>
          <w:rFonts w:ascii="Arial" w:eastAsia="Times New Roman" w:hAnsi="Arial" w:cs="Arial"/>
          <w:sz w:val="24"/>
          <w:szCs w:val="24"/>
        </w:rPr>
      </w:pPr>
    </w:p>
    <w:p w14:paraId="43E32D84" w14:textId="77777777" w:rsidR="00094B1A" w:rsidRPr="0040766B" w:rsidRDefault="00094B1A" w:rsidP="00094B1A">
      <w:pPr>
        <w:tabs>
          <w:tab w:val="left" w:pos="989"/>
        </w:tabs>
        <w:spacing w:after="0" w:line="240" w:lineRule="auto"/>
        <w:ind w:left="2268"/>
        <w:jc w:val="both"/>
        <w:rPr>
          <w:rFonts w:ascii="Arial" w:eastAsia="Times New Roman" w:hAnsi="Arial" w:cs="Arial"/>
          <w:sz w:val="24"/>
          <w:szCs w:val="24"/>
        </w:rPr>
      </w:pPr>
      <w:r w:rsidRPr="00094B1A">
        <w:rPr>
          <w:rFonts w:ascii="Arial" w:eastAsia="Times New Roman" w:hAnsi="Arial" w:cs="Arial"/>
          <w:sz w:val="20"/>
          <w:szCs w:val="20"/>
        </w:rPr>
        <w:t xml:space="preserve">Pour </w:t>
      </w:r>
      <w:proofErr w:type="spellStart"/>
      <w:r w:rsidRPr="00094B1A">
        <w:rPr>
          <w:rFonts w:ascii="Arial" w:eastAsia="Times New Roman" w:hAnsi="Arial" w:cs="Arial"/>
          <w:sz w:val="20"/>
          <w:szCs w:val="20"/>
        </w:rPr>
        <w:t>résumer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ces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cinq</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précautions</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méthode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je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dirai</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ceci</w:t>
      </w:r>
      <w:proofErr w:type="spellEnd"/>
      <w:r w:rsidRPr="00094B1A">
        <w:rPr>
          <w:rFonts w:ascii="Arial" w:eastAsia="Times New Roman" w:hAnsi="Arial" w:cs="Arial"/>
          <w:sz w:val="20"/>
          <w:szCs w:val="20"/>
        </w:rPr>
        <w:t xml:space="preserve"> : </w:t>
      </w:r>
      <w:proofErr w:type="spellStart"/>
      <w:r w:rsidRPr="00094B1A">
        <w:rPr>
          <w:rFonts w:ascii="Arial" w:eastAsia="Times New Roman" w:hAnsi="Arial" w:cs="Arial"/>
          <w:sz w:val="20"/>
          <w:szCs w:val="20"/>
        </w:rPr>
        <w:t>plutôt</w:t>
      </w:r>
      <w:proofErr w:type="spellEnd"/>
      <w:r w:rsidRPr="00094B1A">
        <w:rPr>
          <w:rFonts w:ascii="Arial" w:eastAsia="Times New Roman" w:hAnsi="Arial" w:cs="Arial"/>
          <w:sz w:val="20"/>
          <w:szCs w:val="20"/>
        </w:rPr>
        <w:t xml:space="preserve"> que d’</w:t>
      </w:r>
      <w:proofErr w:type="spellStart"/>
      <w:r w:rsidRPr="00094B1A">
        <w:rPr>
          <w:rFonts w:ascii="Arial" w:eastAsia="Times New Roman" w:hAnsi="Arial" w:cs="Arial"/>
          <w:sz w:val="20"/>
          <w:szCs w:val="20"/>
        </w:rPr>
        <w:t>orienter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la</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recherche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sur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pouvoir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côté de </w:t>
      </w:r>
      <w:proofErr w:type="spellStart"/>
      <w:r w:rsidRPr="00094B1A">
        <w:rPr>
          <w:rFonts w:ascii="Arial" w:eastAsia="Times New Roman" w:hAnsi="Arial" w:cs="Arial"/>
          <w:sz w:val="20"/>
          <w:szCs w:val="20"/>
        </w:rPr>
        <w:t>l’édifice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juridique</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la</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souveraineté</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côté </w:t>
      </w:r>
      <w:proofErr w:type="spellStart"/>
      <w:r w:rsidRPr="00094B1A">
        <w:rPr>
          <w:rFonts w:ascii="Arial" w:eastAsia="Times New Roman" w:hAnsi="Arial" w:cs="Arial"/>
          <w:sz w:val="20"/>
          <w:szCs w:val="20"/>
        </w:rPr>
        <w:t>des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appareils</w:t>
      </w:r>
      <w:proofErr w:type="spellEnd"/>
      <w:r w:rsidRPr="00094B1A">
        <w:rPr>
          <w:rFonts w:ascii="Arial" w:eastAsia="Times New Roman" w:hAnsi="Arial" w:cs="Arial"/>
          <w:sz w:val="20"/>
          <w:szCs w:val="20"/>
        </w:rPr>
        <w:t xml:space="preserve"> d’</w:t>
      </w:r>
      <w:proofErr w:type="spellStart"/>
      <w:r w:rsidRPr="00094B1A">
        <w:rPr>
          <w:rFonts w:ascii="Arial" w:eastAsia="Times New Roman" w:hAnsi="Arial" w:cs="Arial"/>
          <w:sz w:val="20"/>
          <w:szCs w:val="20"/>
        </w:rPr>
        <w:t>État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côté </w:t>
      </w:r>
      <w:proofErr w:type="spellStart"/>
      <w:r w:rsidRPr="00094B1A">
        <w:rPr>
          <w:rFonts w:ascii="Arial" w:eastAsia="Times New Roman" w:hAnsi="Arial" w:cs="Arial"/>
          <w:sz w:val="20"/>
          <w:szCs w:val="20"/>
        </w:rPr>
        <w:t>des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idéologies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qui</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l’accompagnent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je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crois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qu’il</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faut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orienter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l’analyse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pouvoir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côté de </w:t>
      </w:r>
      <w:proofErr w:type="spellStart"/>
      <w:r w:rsidRPr="00094B1A">
        <w:rPr>
          <w:rFonts w:ascii="Arial" w:eastAsia="Times New Roman" w:hAnsi="Arial" w:cs="Arial"/>
          <w:sz w:val="20"/>
          <w:szCs w:val="20"/>
        </w:rPr>
        <w:t>la</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domination</w:t>
      </w:r>
      <w:proofErr w:type="spellEnd"/>
      <w:r w:rsidRPr="00094B1A">
        <w:rPr>
          <w:rFonts w:ascii="Arial" w:eastAsia="Times New Roman" w:hAnsi="Arial" w:cs="Arial"/>
          <w:sz w:val="20"/>
          <w:szCs w:val="20"/>
        </w:rPr>
        <w:t xml:space="preserve"> (et non </w:t>
      </w:r>
      <w:proofErr w:type="spellStart"/>
      <w:r w:rsidRPr="00094B1A">
        <w:rPr>
          <w:rFonts w:ascii="Arial" w:eastAsia="Times New Roman" w:hAnsi="Arial" w:cs="Arial"/>
          <w:sz w:val="20"/>
          <w:szCs w:val="20"/>
        </w:rPr>
        <w:t>pas</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la</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souveraineté</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côté </w:t>
      </w:r>
      <w:proofErr w:type="spellStart"/>
      <w:r w:rsidRPr="00094B1A">
        <w:rPr>
          <w:rFonts w:ascii="Arial" w:eastAsia="Times New Roman" w:hAnsi="Arial" w:cs="Arial"/>
          <w:sz w:val="20"/>
          <w:szCs w:val="20"/>
        </w:rPr>
        <w:t>des</w:t>
      </w:r>
      <w:proofErr w:type="spellEnd"/>
      <w:r w:rsidRPr="0040766B">
        <w:rPr>
          <w:rFonts w:ascii="Arial" w:eastAsia="Times New Roman" w:hAnsi="Arial" w:cs="Arial"/>
          <w:sz w:val="24"/>
          <w:szCs w:val="24"/>
        </w:rPr>
        <w:t xml:space="preserve"> </w:t>
      </w:r>
      <w:proofErr w:type="spellStart"/>
      <w:r w:rsidRPr="00094B1A">
        <w:rPr>
          <w:rFonts w:ascii="Arial" w:eastAsia="Times New Roman" w:hAnsi="Arial" w:cs="Arial"/>
          <w:sz w:val="20"/>
          <w:szCs w:val="20"/>
        </w:rPr>
        <w:t>opérateurs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matériels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côté </w:t>
      </w:r>
      <w:proofErr w:type="spellStart"/>
      <w:r w:rsidRPr="00094B1A">
        <w:rPr>
          <w:rFonts w:ascii="Arial" w:eastAsia="Times New Roman" w:hAnsi="Arial" w:cs="Arial"/>
          <w:sz w:val="20"/>
          <w:szCs w:val="20"/>
        </w:rPr>
        <w:t>des</w:t>
      </w:r>
      <w:proofErr w:type="spellEnd"/>
      <w:r w:rsidRPr="00094B1A">
        <w:rPr>
          <w:rFonts w:ascii="Arial" w:eastAsia="Times New Roman" w:hAnsi="Arial" w:cs="Arial"/>
          <w:sz w:val="20"/>
          <w:szCs w:val="20"/>
        </w:rPr>
        <w:t xml:space="preserve"> formes d’</w:t>
      </w:r>
      <w:proofErr w:type="spellStart"/>
      <w:r w:rsidRPr="00094B1A">
        <w:rPr>
          <w:rFonts w:ascii="Arial" w:eastAsia="Times New Roman" w:hAnsi="Arial" w:cs="Arial"/>
          <w:sz w:val="20"/>
          <w:szCs w:val="20"/>
        </w:rPr>
        <w:t>assujettissement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côté </w:t>
      </w:r>
      <w:proofErr w:type="spellStart"/>
      <w:r w:rsidRPr="00094B1A">
        <w:rPr>
          <w:rFonts w:ascii="Arial" w:eastAsia="Times New Roman" w:hAnsi="Arial" w:cs="Arial"/>
          <w:sz w:val="20"/>
          <w:szCs w:val="20"/>
        </w:rPr>
        <w:t>des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connexions</w:t>
      </w:r>
      <w:proofErr w:type="spellEnd"/>
      <w:r w:rsidRPr="00094B1A">
        <w:rPr>
          <w:rFonts w:ascii="Arial" w:eastAsia="Times New Roman" w:hAnsi="Arial" w:cs="Arial"/>
          <w:sz w:val="20"/>
          <w:szCs w:val="20"/>
        </w:rPr>
        <w:t xml:space="preserve"> et </w:t>
      </w:r>
      <w:proofErr w:type="spellStart"/>
      <w:r w:rsidRPr="00094B1A">
        <w:rPr>
          <w:rFonts w:ascii="Arial" w:eastAsia="Times New Roman" w:hAnsi="Arial" w:cs="Arial"/>
          <w:sz w:val="20"/>
          <w:szCs w:val="20"/>
        </w:rPr>
        <w:t>utilisations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systèmes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locaux</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cet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assujettissement</w:t>
      </w:r>
      <w:proofErr w:type="spellEnd"/>
      <w:r w:rsidRPr="00094B1A">
        <w:rPr>
          <w:rFonts w:ascii="Arial" w:eastAsia="Times New Roman" w:hAnsi="Arial" w:cs="Arial"/>
          <w:sz w:val="20"/>
          <w:szCs w:val="20"/>
        </w:rPr>
        <w:t xml:space="preserve"> et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côté, </w:t>
      </w:r>
      <w:proofErr w:type="spellStart"/>
      <w:r w:rsidRPr="00094B1A">
        <w:rPr>
          <w:rFonts w:ascii="Arial" w:eastAsia="Times New Roman" w:hAnsi="Arial" w:cs="Arial"/>
          <w:sz w:val="20"/>
          <w:szCs w:val="20"/>
        </w:rPr>
        <w:t>enfin</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dispositifs</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savoir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En</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somme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il</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faut</w:t>
      </w:r>
      <w:proofErr w:type="spellEnd"/>
      <w:r w:rsidRPr="00094B1A">
        <w:rPr>
          <w:rFonts w:ascii="Arial" w:eastAsia="Times New Roman" w:hAnsi="Arial" w:cs="Arial"/>
          <w:sz w:val="20"/>
          <w:szCs w:val="20"/>
        </w:rPr>
        <w:t xml:space="preserve"> se </w:t>
      </w:r>
      <w:proofErr w:type="spellStart"/>
      <w:r w:rsidRPr="00094B1A">
        <w:rPr>
          <w:rFonts w:ascii="Arial" w:eastAsia="Times New Roman" w:hAnsi="Arial" w:cs="Arial"/>
          <w:sz w:val="20"/>
          <w:szCs w:val="20"/>
        </w:rPr>
        <w:t>débarrasser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modèle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Léviathan</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ce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modèle</w:t>
      </w:r>
      <w:proofErr w:type="spellEnd"/>
      <w:r w:rsidRPr="00094B1A">
        <w:rPr>
          <w:rFonts w:ascii="Arial" w:eastAsia="Times New Roman" w:hAnsi="Arial" w:cs="Arial"/>
          <w:sz w:val="20"/>
          <w:szCs w:val="20"/>
        </w:rPr>
        <w:t xml:space="preserve"> d’</w:t>
      </w:r>
      <w:proofErr w:type="spellStart"/>
      <w:r w:rsidRPr="00094B1A">
        <w:rPr>
          <w:rFonts w:ascii="Arial" w:eastAsia="Times New Roman" w:hAnsi="Arial" w:cs="Arial"/>
          <w:sz w:val="20"/>
          <w:szCs w:val="20"/>
        </w:rPr>
        <w:t>un</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homme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artificiel</w:t>
      </w:r>
      <w:proofErr w:type="spellEnd"/>
      <w:r w:rsidRPr="00094B1A">
        <w:rPr>
          <w:rFonts w:ascii="Arial" w:eastAsia="Times New Roman" w:hAnsi="Arial" w:cs="Arial"/>
          <w:sz w:val="20"/>
          <w:szCs w:val="20"/>
        </w:rPr>
        <w:t xml:space="preserve">, à </w:t>
      </w:r>
      <w:proofErr w:type="spellStart"/>
      <w:r w:rsidRPr="00094B1A">
        <w:rPr>
          <w:rFonts w:ascii="Arial" w:eastAsia="Times New Roman" w:hAnsi="Arial" w:cs="Arial"/>
          <w:sz w:val="20"/>
          <w:szCs w:val="20"/>
        </w:rPr>
        <w:t>la</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fois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automate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fabriqué</w:t>
      </w:r>
      <w:proofErr w:type="spellEnd"/>
      <w:r w:rsidRPr="00094B1A">
        <w:rPr>
          <w:rFonts w:ascii="Arial" w:eastAsia="Times New Roman" w:hAnsi="Arial" w:cs="Arial"/>
          <w:sz w:val="20"/>
          <w:szCs w:val="20"/>
        </w:rPr>
        <w:t xml:space="preserve"> et </w:t>
      </w:r>
      <w:proofErr w:type="spellStart"/>
      <w:r w:rsidRPr="00094B1A">
        <w:rPr>
          <w:rFonts w:ascii="Arial" w:eastAsia="Times New Roman" w:hAnsi="Arial" w:cs="Arial"/>
          <w:sz w:val="20"/>
          <w:szCs w:val="20"/>
        </w:rPr>
        <w:t>unitaire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également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qui</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envelopperait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tous</w:t>
      </w:r>
      <w:proofErr w:type="spellEnd"/>
      <w:r w:rsidRPr="00094B1A">
        <w:rPr>
          <w:rFonts w:ascii="Arial" w:eastAsia="Times New Roman" w:hAnsi="Arial" w:cs="Arial"/>
          <w:sz w:val="20"/>
          <w:szCs w:val="20"/>
        </w:rPr>
        <w:t xml:space="preserve"> lês </w:t>
      </w:r>
      <w:proofErr w:type="spellStart"/>
      <w:r w:rsidRPr="00094B1A">
        <w:rPr>
          <w:rFonts w:ascii="Arial" w:eastAsia="Times New Roman" w:hAnsi="Arial" w:cs="Arial"/>
          <w:sz w:val="20"/>
          <w:szCs w:val="20"/>
        </w:rPr>
        <w:t>individus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réels</w:t>
      </w:r>
      <w:proofErr w:type="spellEnd"/>
      <w:r w:rsidRPr="00094B1A">
        <w:rPr>
          <w:rFonts w:ascii="Arial" w:eastAsia="Times New Roman" w:hAnsi="Arial" w:cs="Arial"/>
          <w:sz w:val="20"/>
          <w:szCs w:val="20"/>
        </w:rPr>
        <w:t xml:space="preserve">, et </w:t>
      </w:r>
      <w:proofErr w:type="spellStart"/>
      <w:r w:rsidRPr="00094B1A">
        <w:rPr>
          <w:rFonts w:ascii="Arial" w:eastAsia="Times New Roman" w:hAnsi="Arial" w:cs="Arial"/>
          <w:sz w:val="20"/>
          <w:szCs w:val="20"/>
        </w:rPr>
        <w:t>dont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citoyens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seraient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corps</w:t>
      </w:r>
      <w:proofErr w:type="spellEnd"/>
      <w:r w:rsidRPr="00094B1A">
        <w:rPr>
          <w:rFonts w:ascii="Arial" w:eastAsia="Times New Roman" w:hAnsi="Arial" w:cs="Arial"/>
          <w:sz w:val="20"/>
          <w:szCs w:val="20"/>
        </w:rPr>
        <w:t xml:space="preserve">, mais </w:t>
      </w:r>
      <w:proofErr w:type="spellStart"/>
      <w:r w:rsidRPr="00094B1A">
        <w:rPr>
          <w:rFonts w:ascii="Arial" w:eastAsia="Times New Roman" w:hAnsi="Arial" w:cs="Arial"/>
          <w:sz w:val="20"/>
          <w:szCs w:val="20"/>
        </w:rPr>
        <w:t>dont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l’âme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serait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la</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souveraineté</w:t>
      </w:r>
      <w:proofErr w:type="spellEnd"/>
      <w:r w:rsidRPr="00094B1A">
        <w:rPr>
          <w:rFonts w:ascii="Arial" w:eastAsia="Times New Roman" w:hAnsi="Arial" w:cs="Arial"/>
          <w:sz w:val="20"/>
          <w:szCs w:val="20"/>
        </w:rPr>
        <w:t xml:space="preserve">. Il </w:t>
      </w:r>
      <w:proofErr w:type="spellStart"/>
      <w:r w:rsidRPr="00094B1A">
        <w:rPr>
          <w:rFonts w:ascii="Arial" w:eastAsia="Times New Roman" w:hAnsi="Arial" w:cs="Arial"/>
          <w:sz w:val="20"/>
          <w:szCs w:val="20"/>
        </w:rPr>
        <w:t>faut</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étudier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pouvoir</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hors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modèle</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Léviathan</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hors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du</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champ</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délimité</w:t>
      </w:r>
      <w:proofErr w:type="spellEnd"/>
      <w:r w:rsidRPr="00094B1A">
        <w:rPr>
          <w:rFonts w:ascii="Arial" w:eastAsia="Times New Roman" w:hAnsi="Arial" w:cs="Arial"/>
          <w:sz w:val="20"/>
          <w:szCs w:val="20"/>
        </w:rPr>
        <w:t xml:space="preserve"> par </w:t>
      </w:r>
      <w:proofErr w:type="spellStart"/>
      <w:r w:rsidRPr="00094B1A">
        <w:rPr>
          <w:rFonts w:ascii="Arial" w:eastAsia="Times New Roman" w:hAnsi="Arial" w:cs="Arial"/>
          <w:sz w:val="20"/>
          <w:szCs w:val="20"/>
        </w:rPr>
        <w:t>la</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souveraineté</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juridique</w:t>
      </w:r>
      <w:proofErr w:type="spellEnd"/>
      <w:r w:rsidRPr="00094B1A">
        <w:rPr>
          <w:rFonts w:ascii="Arial" w:eastAsia="Times New Roman" w:hAnsi="Arial" w:cs="Arial"/>
          <w:sz w:val="20"/>
          <w:szCs w:val="20"/>
        </w:rPr>
        <w:t xml:space="preserve"> et </w:t>
      </w:r>
      <w:proofErr w:type="spellStart"/>
      <w:r w:rsidRPr="00094B1A">
        <w:rPr>
          <w:rFonts w:ascii="Arial" w:eastAsia="Times New Roman" w:hAnsi="Arial" w:cs="Arial"/>
          <w:sz w:val="20"/>
          <w:szCs w:val="20"/>
        </w:rPr>
        <w:t>l’institution</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l’État</w:t>
      </w:r>
      <w:proofErr w:type="spellEnd"/>
      <w:r w:rsidRPr="00094B1A">
        <w:rPr>
          <w:rFonts w:ascii="Arial" w:eastAsia="Times New Roman" w:hAnsi="Arial" w:cs="Arial"/>
          <w:sz w:val="20"/>
          <w:szCs w:val="20"/>
        </w:rPr>
        <w:t xml:space="preserve"> ; </w:t>
      </w:r>
      <w:proofErr w:type="spellStart"/>
      <w:r w:rsidRPr="00094B1A">
        <w:rPr>
          <w:rFonts w:ascii="Arial" w:eastAsia="Times New Roman" w:hAnsi="Arial" w:cs="Arial"/>
          <w:sz w:val="20"/>
          <w:szCs w:val="20"/>
        </w:rPr>
        <w:t>il</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s’agit</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l’analyser</w:t>
      </w:r>
      <w:proofErr w:type="spellEnd"/>
      <w:r w:rsidRPr="00094B1A">
        <w:rPr>
          <w:rFonts w:ascii="Arial" w:eastAsia="Times New Roman" w:hAnsi="Arial" w:cs="Arial"/>
          <w:sz w:val="20"/>
          <w:szCs w:val="20"/>
        </w:rPr>
        <w:t xml:space="preserve"> à partir </w:t>
      </w:r>
      <w:proofErr w:type="spellStart"/>
      <w:r w:rsidRPr="00094B1A">
        <w:rPr>
          <w:rFonts w:ascii="Arial" w:eastAsia="Times New Roman" w:hAnsi="Arial" w:cs="Arial"/>
          <w:sz w:val="20"/>
          <w:szCs w:val="20"/>
        </w:rPr>
        <w:t>des</w:t>
      </w:r>
      <w:proofErr w:type="spellEnd"/>
      <w:r w:rsidRPr="00094B1A">
        <w:rPr>
          <w:rFonts w:ascii="Arial" w:eastAsia="Times New Roman" w:hAnsi="Arial" w:cs="Arial"/>
          <w:sz w:val="20"/>
          <w:szCs w:val="20"/>
        </w:rPr>
        <w:t xml:space="preserve"> </w:t>
      </w:r>
      <w:proofErr w:type="spellStart"/>
      <w:r w:rsidRPr="00094B1A">
        <w:rPr>
          <w:rFonts w:ascii="Arial" w:eastAsia="Times New Roman" w:hAnsi="Arial" w:cs="Arial"/>
          <w:sz w:val="20"/>
          <w:szCs w:val="20"/>
        </w:rPr>
        <w:t>techniques</w:t>
      </w:r>
      <w:proofErr w:type="spellEnd"/>
      <w:r w:rsidRPr="00094B1A">
        <w:rPr>
          <w:rFonts w:ascii="Arial" w:eastAsia="Times New Roman" w:hAnsi="Arial" w:cs="Arial"/>
          <w:sz w:val="20"/>
          <w:szCs w:val="20"/>
        </w:rPr>
        <w:t xml:space="preserve"> et </w:t>
      </w:r>
      <w:proofErr w:type="spellStart"/>
      <w:r w:rsidRPr="00094B1A">
        <w:rPr>
          <w:rFonts w:ascii="Arial" w:eastAsia="Times New Roman" w:hAnsi="Arial" w:cs="Arial"/>
          <w:sz w:val="20"/>
          <w:szCs w:val="20"/>
        </w:rPr>
        <w:t>tactiques</w:t>
      </w:r>
      <w:proofErr w:type="spellEnd"/>
      <w:r w:rsidRPr="00094B1A">
        <w:rPr>
          <w:rFonts w:ascii="Arial" w:eastAsia="Times New Roman" w:hAnsi="Arial" w:cs="Arial"/>
          <w:sz w:val="20"/>
          <w:szCs w:val="20"/>
        </w:rPr>
        <w:t xml:space="preserve"> de </w:t>
      </w:r>
      <w:proofErr w:type="spellStart"/>
      <w:r w:rsidRPr="00094B1A">
        <w:rPr>
          <w:rFonts w:ascii="Arial" w:eastAsia="Times New Roman" w:hAnsi="Arial" w:cs="Arial"/>
          <w:sz w:val="20"/>
          <w:szCs w:val="20"/>
        </w:rPr>
        <w:t>domination</w:t>
      </w:r>
      <w:proofErr w:type="spellEnd"/>
      <w:r w:rsidRPr="00094B1A">
        <w:rPr>
          <w:rFonts w:ascii="Arial" w:eastAsia="Times New Roman" w:hAnsi="Arial" w:cs="Arial"/>
          <w:sz w:val="20"/>
          <w:szCs w:val="20"/>
          <w:vertAlign w:val="superscript"/>
        </w:rPr>
        <w:footnoteReference w:id="35"/>
      </w:r>
    </w:p>
    <w:p w14:paraId="7D55E98E" w14:textId="77777777" w:rsidR="00094B1A" w:rsidRPr="0040766B" w:rsidRDefault="00094B1A" w:rsidP="00094B1A">
      <w:pPr>
        <w:tabs>
          <w:tab w:val="left" w:pos="989"/>
        </w:tabs>
        <w:spacing w:after="0" w:line="240" w:lineRule="auto"/>
        <w:ind w:left="2268"/>
        <w:jc w:val="both"/>
        <w:rPr>
          <w:rFonts w:ascii="Arial" w:eastAsia="Times New Roman" w:hAnsi="Arial" w:cs="Arial"/>
          <w:sz w:val="24"/>
          <w:szCs w:val="24"/>
        </w:rPr>
      </w:pPr>
    </w:p>
    <w:p w14:paraId="63EDED29" w14:textId="77777777" w:rsidR="00094B1A" w:rsidRPr="0040766B" w:rsidRDefault="00094B1A" w:rsidP="00094B1A">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Nesse sentido, essas precauções metodológicas estabelecem um importante marco no pensamento de Foucault, ao identificar o direito para além das enunciações jurídicas, tendo como diretriz de raciocínio perceber a esfera jurídica como sendo instrumento de dominação a partir das relações que se consolidam, criadas no corpo social, nas práticas e exercício do poder, para além do universo institucional, buscando seu entendimento socialmente, na microfísica das relações sociais. </w:t>
      </w:r>
    </w:p>
    <w:p w14:paraId="744C6BF8" w14:textId="77777777" w:rsidR="00094B1A" w:rsidRPr="00094B1A" w:rsidRDefault="00094B1A" w:rsidP="00094B1A">
      <w:pPr>
        <w:spacing w:after="0" w:line="360" w:lineRule="auto"/>
        <w:jc w:val="both"/>
        <w:rPr>
          <w:rFonts w:ascii="Arial" w:hAnsi="Arial" w:cs="Arial"/>
          <w:b/>
          <w:bCs/>
          <w:sz w:val="24"/>
          <w:szCs w:val="24"/>
          <w:lang w:val="en-US"/>
        </w:rPr>
      </w:pPr>
    </w:p>
    <w:p w14:paraId="25037F4A" w14:textId="7E0F6785" w:rsidR="00886D02" w:rsidRPr="00094B1A" w:rsidRDefault="00094B1A" w:rsidP="00094B1A">
      <w:pPr>
        <w:pStyle w:val="PargrafodaLista"/>
        <w:numPr>
          <w:ilvl w:val="0"/>
          <w:numId w:val="39"/>
        </w:numPr>
        <w:spacing w:after="0" w:line="360" w:lineRule="auto"/>
        <w:jc w:val="both"/>
        <w:rPr>
          <w:rFonts w:ascii="Arial" w:hAnsi="Arial" w:cs="Arial"/>
          <w:sz w:val="24"/>
          <w:szCs w:val="24"/>
        </w:rPr>
      </w:pPr>
      <w:r w:rsidRPr="0040766B">
        <w:rPr>
          <w:rFonts w:ascii="Arial" w:eastAsia="Times New Roman" w:hAnsi="Arial" w:cs="Arial"/>
          <w:b/>
          <w:bCs/>
          <w:sz w:val="24"/>
          <w:szCs w:val="24"/>
        </w:rPr>
        <w:t>AS MALHAS DO PODER</w:t>
      </w:r>
    </w:p>
    <w:p w14:paraId="1D7BCE81" w14:textId="06FEF805" w:rsidR="002C413A" w:rsidRDefault="002C413A" w:rsidP="002C413A">
      <w:pPr>
        <w:spacing w:after="0" w:line="360" w:lineRule="auto"/>
        <w:ind w:firstLine="851"/>
        <w:jc w:val="both"/>
        <w:rPr>
          <w:rFonts w:ascii="Arial" w:hAnsi="Arial" w:cs="Arial"/>
          <w:sz w:val="24"/>
          <w:szCs w:val="24"/>
        </w:rPr>
      </w:pPr>
      <w:r w:rsidRPr="00886D02">
        <w:rPr>
          <w:rFonts w:ascii="Arial" w:hAnsi="Arial" w:cs="Arial"/>
          <w:sz w:val="24"/>
          <w:szCs w:val="24"/>
        </w:rPr>
        <w:lastRenderedPageBreak/>
        <w:t xml:space="preserve"> </w:t>
      </w:r>
    </w:p>
    <w:p w14:paraId="67A64088" w14:textId="406B52AD" w:rsidR="00785179" w:rsidRPr="0040766B" w:rsidRDefault="00785179" w:rsidP="00785179">
      <w:pPr>
        <w:tabs>
          <w:tab w:val="left" w:pos="989"/>
        </w:tabs>
        <w:spacing w:after="0" w:line="360" w:lineRule="auto"/>
        <w:jc w:val="both"/>
        <w:rPr>
          <w:rFonts w:ascii="Arial" w:eastAsia="Times New Roman" w:hAnsi="Arial" w:cs="Arial"/>
          <w:sz w:val="24"/>
          <w:szCs w:val="24"/>
        </w:rPr>
      </w:pPr>
      <w:r>
        <w:rPr>
          <w:rFonts w:ascii="Arial" w:eastAsia="Times New Roman" w:hAnsi="Arial" w:cs="Arial"/>
          <w:sz w:val="24"/>
          <w:szCs w:val="24"/>
        </w:rPr>
        <w:tab/>
      </w:r>
      <w:r w:rsidRPr="0040766B">
        <w:rPr>
          <w:rFonts w:ascii="Arial" w:eastAsia="Times New Roman" w:hAnsi="Arial" w:cs="Arial"/>
          <w:sz w:val="24"/>
          <w:szCs w:val="24"/>
        </w:rPr>
        <w:t>Deleuze ao discorrer sobre o pensamento Foucaultiana e sua análise prolongada de Nietsche, acerca da relação saber e poder, esse último acaba tendo como elemento a informalidade que perpassa entre as formas de saber, ou por baixo delas. Razão pela qual é microfísico, considerado enquanto relação de forças, mas a partir a subjetivação dos sujeitos, que podem ser variáveis, conforme a época, seguindo padrões de regras muito diferentes, nas apenas ao eu em si (a pessoa), mas aos modos de produção da existência, sendo considerado como um modo intensivo e não um sujeito pessoal</w:t>
      </w:r>
      <w:r w:rsidRPr="0040766B">
        <w:rPr>
          <w:rFonts w:ascii="Arial" w:eastAsia="Times New Roman" w:hAnsi="Arial" w:cs="Arial"/>
          <w:sz w:val="24"/>
          <w:szCs w:val="24"/>
          <w:vertAlign w:val="superscript"/>
        </w:rPr>
        <w:footnoteReference w:id="36"/>
      </w:r>
      <w:r w:rsidRPr="0040766B">
        <w:rPr>
          <w:rFonts w:ascii="Arial" w:eastAsia="Times New Roman" w:hAnsi="Arial" w:cs="Arial"/>
          <w:sz w:val="24"/>
          <w:szCs w:val="24"/>
        </w:rPr>
        <w:t xml:space="preserve">. </w:t>
      </w:r>
    </w:p>
    <w:p w14:paraId="700698B1"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No texto as Malhas do Poder (1981), Foucault irá retomar a noção de poder analisando a </w:t>
      </w:r>
      <w:proofErr w:type="spellStart"/>
      <w:r w:rsidRPr="0040766B">
        <w:rPr>
          <w:rFonts w:ascii="Arial" w:eastAsia="Times New Roman" w:hAnsi="Arial" w:cs="Arial"/>
          <w:sz w:val="24"/>
          <w:szCs w:val="24"/>
        </w:rPr>
        <w:t>idéia</w:t>
      </w:r>
      <w:proofErr w:type="spellEnd"/>
      <w:r w:rsidRPr="0040766B">
        <w:rPr>
          <w:rFonts w:ascii="Arial" w:eastAsia="Times New Roman" w:hAnsi="Arial" w:cs="Arial"/>
          <w:sz w:val="24"/>
          <w:szCs w:val="24"/>
        </w:rPr>
        <w:t xml:space="preserve"> de instinto a partir de uma concepção de poder, sob a questão do desejo na psicanálise partindo da premissa que o instinto estaria vinculado à elaboração da ordem repressiva, porém não da ordem natural. Há um limite do desejo (elaboração repressiva a ser reprimida), surgindo uma concepção negativa, formal e jurídica do poder na modernidade</w:t>
      </w:r>
      <w:r w:rsidRPr="0040766B">
        <w:rPr>
          <w:rFonts w:ascii="Arial" w:eastAsia="Times New Roman" w:hAnsi="Arial" w:cs="Arial"/>
          <w:sz w:val="24"/>
          <w:szCs w:val="24"/>
          <w:vertAlign w:val="superscript"/>
        </w:rPr>
        <w:footnoteReference w:id="37"/>
      </w:r>
      <w:r w:rsidRPr="0040766B">
        <w:rPr>
          <w:rFonts w:ascii="Arial" w:eastAsia="Times New Roman" w:hAnsi="Arial" w:cs="Arial"/>
          <w:sz w:val="24"/>
          <w:szCs w:val="24"/>
        </w:rPr>
        <w:t xml:space="preserve">. </w:t>
      </w:r>
    </w:p>
    <w:p w14:paraId="481C9EBC"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Vale citar as lições de Foucault, em “A vontade do Saber”: </w:t>
      </w:r>
    </w:p>
    <w:p w14:paraId="0D026373" w14:textId="77777777" w:rsidR="00785179" w:rsidRPr="00785179" w:rsidRDefault="00785179" w:rsidP="00785179">
      <w:pPr>
        <w:tabs>
          <w:tab w:val="left" w:pos="989"/>
        </w:tabs>
        <w:spacing w:after="0" w:line="240" w:lineRule="auto"/>
        <w:ind w:left="2268"/>
        <w:jc w:val="both"/>
        <w:rPr>
          <w:rFonts w:ascii="Arial" w:eastAsia="Times New Roman" w:hAnsi="Arial" w:cs="Arial"/>
          <w:sz w:val="20"/>
          <w:szCs w:val="20"/>
        </w:rPr>
      </w:pPr>
      <w:r w:rsidRPr="00785179">
        <w:rPr>
          <w:rFonts w:ascii="Arial" w:eastAsia="Times New Roman" w:hAnsi="Arial" w:cs="Arial"/>
          <w:sz w:val="20"/>
          <w:szCs w:val="20"/>
        </w:rPr>
        <w:t>Ora, em relação ao que chamaria "hipótese repressiva", podem ser levantadas três dúvidas consideráveis. Primeira dúvida: a repressão do sexo seria, mesmo, uma evidência histórica? O que se revela numa primeiríssima abordagem — e que autoriza, por conseguinte, a colocar uma hipótese inicial — seria realmente a acentuação ou talvez a instauração, desde o século XVII, de um regime de repressão ao sexo? Questão que é propriamente histórica. Segunda dúvida: a mecânica do poder e, em particular, a que é posta em jogo numa sociedade como a nossa, seria mesmo, essencialmente, de ordem repressiva? Interdição censura e negação são mesmo as formas pelas quais o poder se exerce de maneira geral, talvez em qualquer sociedade e, infalivelmente, na nossa? Questão histórico-teórica. Enfim, terceira dúvida: o discurso crítico que se dirige à repressão viria cruzar com um mecanismo de poder, que funcionara até então sem contestação, para barrar-lhe a via, ou faria parte da mesma rede histórica daquilo que denuncia (e sem dúvida disfarça) chamando-o "repressão"? Existiria mesmo uma ruptura histórica entre a Idade da repressão e a análise crítica da repressão?</w:t>
      </w:r>
      <w:r w:rsidRPr="00785179">
        <w:rPr>
          <w:rFonts w:ascii="Arial" w:eastAsia="Times New Roman" w:hAnsi="Arial" w:cs="Arial"/>
          <w:sz w:val="20"/>
          <w:szCs w:val="20"/>
          <w:vertAlign w:val="superscript"/>
        </w:rPr>
        <w:footnoteReference w:id="38"/>
      </w:r>
    </w:p>
    <w:p w14:paraId="2FADDB64" w14:textId="77777777" w:rsidR="00785179" w:rsidRPr="0040766B" w:rsidRDefault="00785179" w:rsidP="00785179">
      <w:pPr>
        <w:tabs>
          <w:tab w:val="left" w:pos="989"/>
        </w:tabs>
        <w:spacing w:after="0" w:line="240" w:lineRule="auto"/>
        <w:ind w:left="2268"/>
        <w:jc w:val="both"/>
        <w:rPr>
          <w:rFonts w:ascii="Arial" w:eastAsia="Times New Roman" w:hAnsi="Arial" w:cs="Arial"/>
          <w:sz w:val="24"/>
          <w:szCs w:val="24"/>
        </w:rPr>
      </w:pPr>
    </w:p>
    <w:p w14:paraId="3BC6500A"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Explica o autor, a sexualidade, não foi reprimida nas sociedades capitalistas e burguesas, uma vez que se beneficiou de um regime de liberdade </w:t>
      </w:r>
      <w:r w:rsidRPr="0040766B">
        <w:rPr>
          <w:rFonts w:ascii="Arial" w:eastAsia="Times New Roman" w:hAnsi="Arial" w:cs="Arial"/>
          <w:sz w:val="24"/>
          <w:szCs w:val="24"/>
        </w:rPr>
        <w:lastRenderedPageBreak/>
        <w:t>constante; não se trata de dizer: o poder, em sociedades como as nossas, é mais tolerante do que repressivo e a crítica feita a repressão pode assumir ares de ruptura, mas faz parte de um processo muito mais antigo do que ela e, em segundo plano, aparecerá como um novo episódio na atenuação das interdições ou como forma mais ardilosa ou mais discreta de poder</w:t>
      </w:r>
      <w:r w:rsidRPr="0040766B">
        <w:rPr>
          <w:rFonts w:ascii="Arial" w:eastAsia="Times New Roman" w:hAnsi="Arial" w:cs="Arial"/>
          <w:sz w:val="24"/>
          <w:szCs w:val="24"/>
          <w:vertAlign w:val="superscript"/>
        </w:rPr>
        <w:footnoteReference w:id="39"/>
      </w:r>
      <w:r w:rsidRPr="0040766B">
        <w:rPr>
          <w:rFonts w:ascii="Arial" w:eastAsia="Times New Roman" w:hAnsi="Arial" w:cs="Arial"/>
          <w:sz w:val="24"/>
          <w:szCs w:val="24"/>
        </w:rPr>
        <w:t>.</w:t>
      </w:r>
    </w:p>
    <w:p w14:paraId="41F958C3"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Sendo assim, o objeto de análise foucaultiana tenta ir contra o que ele denomina de “tecnologia jurídica do poder”, não vinculada a uma </w:t>
      </w:r>
      <w:proofErr w:type="spellStart"/>
      <w:r w:rsidRPr="0040766B">
        <w:rPr>
          <w:rFonts w:ascii="Arial" w:eastAsia="Times New Roman" w:hAnsi="Arial" w:cs="Arial"/>
          <w:sz w:val="24"/>
          <w:szCs w:val="24"/>
        </w:rPr>
        <w:t>idéia</w:t>
      </w:r>
      <w:proofErr w:type="spellEnd"/>
      <w:r w:rsidRPr="0040766B">
        <w:rPr>
          <w:rFonts w:ascii="Arial" w:eastAsia="Times New Roman" w:hAnsi="Arial" w:cs="Arial"/>
          <w:sz w:val="24"/>
          <w:szCs w:val="24"/>
        </w:rPr>
        <w:t xml:space="preserve"> negativa, mas segundo a qual o poder seria em sua essência o limite entre o permitido e o proibido, que Foucault atribui a Kant essa concepção negativa, em que a lei moral, tu não deves/tu deves, adotada também por Durkheim, como matriz de regulação de toda conduta humana. Por outro lado, a partir dos trabalhos de </w:t>
      </w:r>
      <w:proofErr w:type="spellStart"/>
      <w:r w:rsidRPr="0040766B">
        <w:rPr>
          <w:rFonts w:ascii="Arial" w:eastAsia="Times New Roman" w:hAnsi="Arial" w:cs="Arial"/>
          <w:sz w:val="24"/>
          <w:szCs w:val="24"/>
        </w:rPr>
        <w:t>Clastres</w:t>
      </w:r>
      <w:proofErr w:type="spellEnd"/>
      <w:r w:rsidRPr="0040766B">
        <w:rPr>
          <w:rFonts w:ascii="Arial" w:eastAsia="Times New Roman" w:hAnsi="Arial" w:cs="Arial"/>
          <w:sz w:val="24"/>
          <w:szCs w:val="24"/>
        </w:rPr>
        <w:t>, a concepção do poder surgira como tecnologia</w:t>
      </w:r>
      <w:r w:rsidRPr="0040766B">
        <w:rPr>
          <w:rFonts w:ascii="Arial" w:eastAsia="Times New Roman" w:hAnsi="Arial" w:cs="Arial"/>
          <w:sz w:val="24"/>
          <w:szCs w:val="24"/>
          <w:vertAlign w:val="superscript"/>
        </w:rPr>
        <w:footnoteReference w:id="40"/>
      </w:r>
      <w:r w:rsidRPr="0040766B">
        <w:rPr>
          <w:rFonts w:ascii="Arial" w:eastAsia="Times New Roman" w:hAnsi="Arial" w:cs="Arial"/>
          <w:sz w:val="24"/>
          <w:szCs w:val="24"/>
        </w:rPr>
        <w:t xml:space="preserve">. </w:t>
      </w:r>
    </w:p>
    <w:p w14:paraId="15CF1579"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hAnsi="Arial" w:cs="Arial"/>
          <w:sz w:val="24"/>
          <w:szCs w:val="24"/>
        </w:rPr>
        <w:t xml:space="preserve"> </w:t>
      </w:r>
      <w:r w:rsidRPr="0040766B">
        <w:rPr>
          <w:rFonts w:ascii="Arial" w:hAnsi="Arial" w:cs="Arial"/>
          <w:sz w:val="24"/>
          <w:szCs w:val="24"/>
        </w:rPr>
        <w:tab/>
      </w:r>
      <w:r w:rsidRPr="0040766B">
        <w:rPr>
          <w:rFonts w:ascii="Arial" w:eastAsia="Times New Roman" w:hAnsi="Arial" w:cs="Arial"/>
          <w:sz w:val="24"/>
          <w:szCs w:val="24"/>
        </w:rPr>
        <w:t xml:space="preserve">Numa visão sob o ângulo da Antropologia econômica das sociedades primitivas como disciplina autônoma tem um sentido, este não pode advir da simples consideração da vida econômica dessas sociedades: permanecemos numa etnologia da descrição, de uma dimensão autônoma da vida social primitiva. </w:t>
      </w:r>
    </w:p>
    <w:p w14:paraId="44777443"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É muito antes, quando essa dimensão do "fato social total" se constituiu como esfera autônoma, que a </w:t>
      </w:r>
      <w:proofErr w:type="spellStart"/>
      <w:r w:rsidRPr="0040766B">
        <w:rPr>
          <w:rFonts w:ascii="Arial" w:eastAsia="Times New Roman" w:hAnsi="Arial" w:cs="Arial"/>
          <w:sz w:val="24"/>
          <w:szCs w:val="24"/>
        </w:rPr>
        <w:t>idéia</w:t>
      </w:r>
      <w:proofErr w:type="spellEnd"/>
      <w:r w:rsidRPr="0040766B">
        <w:rPr>
          <w:rFonts w:ascii="Arial" w:eastAsia="Times New Roman" w:hAnsi="Arial" w:cs="Arial"/>
          <w:sz w:val="24"/>
          <w:szCs w:val="24"/>
        </w:rPr>
        <w:t xml:space="preserve"> de uma Antropologia econômica parece </w:t>
      </w:r>
      <w:r w:rsidRPr="0040766B">
        <w:rPr>
          <w:rFonts w:ascii="Arial" w:eastAsia="Times New Roman" w:hAnsi="Arial" w:cs="Arial"/>
          <w:sz w:val="24"/>
          <w:szCs w:val="24"/>
        </w:rPr>
        <w:lastRenderedPageBreak/>
        <w:t>fundamentada: quando desaparece a recusa ao trabalho, quando o sentido do lazer é substituído pelo gasto da acumulação, quando, ·em síntese, surge no corpo social essa força externa que evocamos antes, essa força sem a qual os selvagens não renunciariam ao lazer e que destrói a sociedade como sociedade primitiva: essa força é a força para sujeitar, é a capacidade de coerção, é o poder político</w:t>
      </w:r>
      <w:r w:rsidRPr="0040766B">
        <w:rPr>
          <w:rFonts w:ascii="Arial" w:eastAsia="Times New Roman" w:hAnsi="Arial" w:cs="Arial"/>
          <w:sz w:val="24"/>
          <w:szCs w:val="24"/>
          <w:vertAlign w:val="superscript"/>
        </w:rPr>
        <w:footnoteReference w:id="41"/>
      </w:r>
    </w:p>
    <w:p w14:paraId="35B3F5BF"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Para Foucault o direito sempre foi o instrumento do poder monárquico contra as instituições, os costumes, os regulamentos, as formas de laço e de pertinência característicos da sociedade feudal. O poder monárquico no ocidente se desenvolveu em instituições judiciárias, por um sistema de tribunais, lastreado no direito romano em que o crescimento do estado na Europa foi parcialmente garantido pelo pensamento jurídico, ou seja, o poder monárquico e o poder do estado são representados no direito</w:t>
      </w:r>
      <w:r w:rsidRPr="0040766B">
        <w:rPr>
          <w:rFonts w:ascii="Arial" w:eastAsia="Times New Roman" w:hAnsi="Arial" w:cs="Arial"/>
          <w:sz w:val="24"/>
          <w:szCs w:val="24"/>
          <w:vertAlign w:val="superscript"/>
        </w:rPr>
        <w:footnoteReference w:id="42"/>
      </w:r>
      <w:r w:rsidRPr="0040766B">
        <w:rPr>
          <w:rFonts w:ascii="Arial" w:eastAsia="Times New Roman" w:hAnsi="Arial" w:cs="Arial"/>
          <w:sz w:val="24"/>
          <w:szCs w:val="24"/>
        </w:rPr>
        <w:t xml:space="preserve">.  </w:t>
      </w:r>
    </w:p>
    <w:p w14:paraId="53E77E32"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O direito ao colonizar essa concepção negativa de poder, sempre restou utilizado como instrumento do poder monárquico, como emergência do poder soberano, unificando as instituições judiciárias, como por exemplo, os tribunais. Esse modelo jurídico, essa linguagem do direito, serviria tanto ao poder feudal e monárquico, quanto à classe burguesa</w:t>
      </w:r>
      <w:r w:rsidRPr="0040766B">
        <w:rPr>
          <w:rFonts w:ascii="Arial" w:eastAsia="Times New Roman" w:hAnsi="Arial" w:cs="Arial"/>
          <w:sz w:val="24"/>
          <w:szCs w:val="24"/>
          <w:vertAlign w:val="superscript"/>
        </w:rPr>
        <w:footnoteReference w:id="43"/>
      </w:r>
      <w:r w:rsidRPr="0040766B">
        <w:rPr>
          <w:rFonts w:ascii="Arial" w:eastAsia="Times New Roman" w:hAnsi="Arial" w:cs="Arial"/>
          <w:sz w:val="24"/>
          <w:szCs w:val="24"/>
        </w:rPr>
        <w:t xml:space="preserve"> emergente. Ou seja, o direito nunca teve outro sistema, na ótica Foucaultiana, que o sistema de lei, da regra, do soberano como funcionamento real do poder.  </w:t>
      </w:r>
    </w:p>
    <w:p w14:paraId="72E12DE3"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Todavia, Michel Foucault chama a atenção para uma concepção positiva de poder, destacando a possibilidade de encontrar esse elemento na teoria de </w:t>
      </w:r>
      <w:r w:rsidRPr="0040766B">
        <w:rPr>
          <w:rFonts w:ascii="Arial" w:eastAsia="Times New Roman" w:hAnsi="Arial" w:cs="Arial"/>
          <w:i/>
          <w:iCs/>
          <w:sz w:val="24"/>
          <w:szCs w:val="24"/>
        </w:rPr>
        <w:t>Bentham</w:t>
      </w:r>
      <w:r w:rsidRPr="0040766B">
        <w:rPr>
          <w:rFonts w:ascii="Arial" w:eastAsia="Times New Roman" w:hAnsi="Arial" w:cs="Arial"/>
          <w:sz w:val="24"/>
          <w:szCs w:val="24"/>
        </w:rPr>
        <w:t xml:space="preserve"> (Século XVIII), teórico do poder burguês e, também, em Karl Marx, no livro II de O Capital. A partir dessas literaturas, Foucault fará uma análise dos mecanismos positivos de poder já partindo da análise de Marx, destacando que não existe um poder, mas muitos poderes. </w:t>
      </w:r>
    </w:p>
    <w:p w14:paraId="43AA429E"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lastRenderedPageBreak/>
        <w:t xml:space="preserve"> </w:t>
      </w:r>
      <w:r w:rsidRPr="0040766B">
        <w:rPr>
          <w:rFonts w:ascii="Arial" w:eastAsia="Times New Roman" w:hAnsi="Arial" w:cs="Arial"/>
          <w:sz w:val="24"/>
          <w:szCs w:val="24"/>
        </w:rPr>
        <w:tab/>
        <w:t>A sociedade e o funcionamento das técnicas de poder não seriam uma unidade, mas formas locais, regionais, heterogêneas de poder com especificidade histórica e geográfica. De tal modo que, há existência de uma justaposição, uma coordenação, uma hierarquia de diferentes poderes. A sociedade seria um arquipélago de poderes diferentes</w:t>
      </w:r>
      <w:r w:rsidRPr="0040766B">
        <w:rPr>
          <w:rFonts w:ascii="Arial" w:eastAsia="Times New Roman" w:hAnsi="Arial" w:cs="Arial"/>
          <w:sz w:val="24"/>
          <w:szCs w:val="24"/>
          <w:vertAlign w:val="superscript"/>
        </w:rPr>
        <w:footnoteReference w:id="44"/>
      </w:r>
      <w:r w:rsidRPr="0040766B">
        <w:rPr>
          <w:rFonts w:ascii="Arial" w:eastAsia="Times New Roman" w:hAnsi="Arial" w:cs="Arial"/>
          <w:sz w:val="24"/>
          <w:szCs w:val="24"/>
        </w:rPr>
        <w:t xml:space="preserve">. Ensina Marx: </w:t>
      </w:r>
    </w:p>
    <w:p w14:paraId="75CA89A0" w14:textId="77777777" w:rsidR="00785179" w:rsidRPr="00785179" w:rsidRDefault="00785179" w:rsidP="00785179">
      <w:pPr>
        <w:tabs>
          <w:tab w:val="left" w:pos="989"/>
        </w:tabs>
        <w:spacing w:after="0" w:line="240" w:lineRule="auto"/>
        <w:ind w:left="2268"/>
        <w:jc w:val="both"/>
        <w:rPr>
          <w:rFonts w:ascii="Arial" w:eastAsia="Times New Roman" w:hAnsi="Arial" w:cs="Arial"/>
          <w:sz w:val="20"/>
          <w:szCs w:val="20"/>
        </w:rPr>
      </w:pPr>
      <w:r w:rsidRPr="0040766B">
        <w:rPr>
          <w:rFonts w:ascii="Arial" w:eastAsia="Times New Roman" w:hAnsi="Arial" w:cs="Arial"/>
          <w:sz w:val="24"/>
          <w:szCs w:val="24"/>
        </w:rPr>
        <w:t xml:space="preserve"> </w:t>
      </w:r>
      <w:r w:rsidRPr="00785179">
        <w:rPr>
          <w:rFonts w:ascii="Arial" w:eastAsia="Times New Roman" w:hAnsi="Arial" w:cs="Arial"/>
          <w:sz w:val="20"/>
          <w:szCs w:val="20"/>
        </w:rPr>
        <w:t xml:space="preserve">Un </w:t>
      </w:r>
      <w:proofErr w:type="spellStart"/>
      <w:r w:rsidRPr="00785179">
        <w:rPr>
          <w:rFonts w:ascii="Arial" w:eastAsia="Times New Roman" w:hAnsi="Arial" w:cs="Arial"/>
          <w:sz w:val="20"/>
          <w:szCs w:val="20"/>
        </w:rPr>
        <w:t>grand</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rôle</w:t>
      </w:r>
      <w:proofErr w:type="spellEnd"/>
      <w:r w:rsidRPr="00785179">
        <w:rPr>
          <w:rFonts w:ascii="Arial" w:eastAsia="Times New Roman" w:hAnsi="Arial" w:cs="Arial"/>
          <w:sz w:val="20"/>
          <w:szCs w:val="20"/>
        </w:rPr>
        <w:t xml:space="preserve"> est </w:t>
      </w:r>
      <w:proofErr w:type="spellStart"/>
      <w:r w:rsidRPr="00785179">
        <w:rPr>
          <w:rFonts w:ascii="Arial" w:eastAsia="Times New Roman" w:hAnsi="Arial" w:cs="Arial"/>
          <w:sz w:val="20"/>
          <w:szCs w:val="20"/>
        </w:rPr>
        <w:t>joué</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dans</w:t>
      </w:r>
      <w:proofErr w:type="spellEnd"/>
      <w:r w:rsidRPr="00785179">
        <w:rPr>
          <w:rFonts w:ascii="Arial" w:eastAsia="Times New Roman" w:hAnsi="Arial" w:cs="Arial"/>
          <w:sz w:val="20"/>
          <w:szCs w:val="20"/>
        </w:rPr>
        <w:t xml:space="preserve"> tout </w:t>
      </w:r>
      <w:proofErr w:type="spellStart"/>
      <w:r w:rsidRPr="00785179">
        <w:rPr>
          <w:rFonts w:ascii="Arial" w:eastAsia="Times New Roman" w:hAnsi="Arial" w:cs="Arial"/>
          <w:sz w:val="20"/>
          <w:szCs w:val="20"/>
        </w:rPr>
        <w:t>procès</w:t>
      </w:r>
      <w:proofErr w:type="spellEnd"/>
      <w:r w:rsidRPr="00785179">
        <w:rPr>
          <w:rFonts w:ascii="Arial" w:eastAsia="Times New Roman" w:hAnsi="Arial" w:cs="Arial"/>
          <w:sz w:val="20"/>
          <w:szCs w:val="20"/>
        </w:rPr>
        <w:t xml:space="preserve"> de </w:t>
      </w:r>
      <w:proofErr w:type="spellStart"/>
      <w:r w:rsidRPr="00785179">
        <w:rPr>
          <w:rFonts w:ascii="Arial" w:eastAsia="Times New Roman" w:hAnsi="Arial" w:cs="Arial"/>
          <w:sz w:val="20"/>
          <w:szCs w:val="20"/>
        </w:rPr>
        <w:t>production</w:t>
      </w:r>
      <w:proofErr w:type="spellEnd"/>
      <w:r w:rsidRPr="00785179">
        <w:rPr>
          <w:rFonts w:ascii="Arial" w:eastAsia="Times New Roman" w:hAnsi="Arial" w:cs="Arial"/>
          <w:sz w:val="20"/>
          <w:szCs w:val="20"/>
        </w:rPr>
        <w:t xml:space="preserve"> par </w:t>
      </w:r>
      <w:proofErr w:type="spellStart"/>
      <w:r w:rsidRPr="00785179">
        <w:rPr>
          <w:rFonts w:ascii="Arial" w:eastAsia="Times New Roman" w:hAnsi="Arial" w:cs="Arial"/>
          <w:sz w:val="20"/>
          <w:szCs w:val="20"/>
        </w:rPr>
        <w:t>le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déplacement</w:t>
      </w:r>
      <w:proofErr w:type="spellEnd"/>
      <w:r w:rsidRPr="00785179">
        <w:rPr>
          <w:rFonts w:ascii="Arial" w:eastAsia="Times New Roman" w:hAnsi="Arial" w:cs="Arial"/>
          <w:sz w:val="20"/>
          <w:szCs w:val="20"/>
        </w:rPr>
        <w:t xml:space="preserve"> de </w:t>
      </w:r>
      <w:proofErr w:type="spellStart"/>
      <w:r w:rsidRPr="00785179">
        <w:rPr>
          <w:rFonts w:ascii="Arial" w:eastAsia="Times New Roman" w:hAnsi="Arial" w:cs="Arial"/>
          <w:sz w:val="20"/>
          <w:szCs w:val="20"/>
        </w:rPr>
        <w:t>l'objel</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du</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travail</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ainsi</w:t>
      </w:r>
      <w:proofErr w:type="spellEnd"/>
      <w:r w:rsidRPr="00785179">
        <w:rPr>
          <w:rFonts w:ascii="Arial" w:eastAsia="Times New Roman" w:hAnsi="Arial" w:cs="Arial"/>
          <w:sz w:val="20"/>
          <w:szCs w:val="20"/>
        </w:rPr>
        <w:t xml:space="preserve"> que </w:t>
      </w:r>
      <w:proofErr w:type="spellStart"/>
      <w:r w:rsidRPr="00785179">
        <w:rPr>
          <w:rFonts w:ascii="Arial" w:eastAsia="Times New Roman" w:hAnsi="Arial" w:cs="Arial"/>
          <w:sz w:val="20"/>
          <w:szCs w:val="20"/>
        </w:rPr>
        <w:t>des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moyens</w:t>
      </w:r>
      <w:proofErr w:type="spellEnd"/>
      <w:r w:rsidRPr="00785179">
        <w:rPr>
          <w:rFonts w:ascii="Arial" w:eastAsia="Times New Roman" w:hAnsi="Arial" w:cs="Arial"/>
          <w:sz w:val="20"/>
          <w:szCs w:val="20"/>
        </w:rPr>
        <w:t xml:space="preserve"> de </w:t>
      </w:r>
      <w:proofErr w:type="spellStart"/>
      <w:r w:rsidRPr="00785179">
        <w:rPr>
          <w:rFonts w:ascii="Arial" w:eastAsia="Times New Roman" w:hAnsi="Arial" w:cs="Arial"/>
          <w:sz w:val="20"/>
          <w:szCs w:val="20"/>
        </w:rPr>
        <w:t>travail</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el</w:t>
      </w:r>
      <w:proofErr w:type="spellEnd"/>
      <w:r w:rsidRPr="00785179">
        <w:rPr>
          <w:rFonts w:ascii="Arial" w:eastAsia="Times New Roman" w:hAnsi="Arial" w:cs="Arial"/>
          <w:sz w:val="20"/>
          <w:szCs w:val="20"/>
        </w:rPr>
        <w:t xml:space="preserve"> forces de </w:t>
      </w:r>
      <w:proofErr w:type="spellStart"/>
      <w:r w:rsidRPr="00785179">
        <w:rPr>
          <w:rFonts w:ascii="Arial" w:eastAsia="Times New Roman" w:hAnsi="Arial" w:cs="Arial"/>
          <w:sz w:val="20"/>
          <w:szCs w:val="20"/>
        </w:rPr>
        <w:t>travail</w:t>
      </w:r>
      <w:proofErr w:type="spellEnd"/>
      <w:r w:rsidRPr="00785179">
        <w:rPr>
          <w:rFonts w:ascii="Arial" w:eastAsia="Times New Roman" w:hAnsi="Arial" w:cs="Arial"/>
          <w:sz w:val="20"/>
          <w:szCs w:val="20"/>
        </w:rPr>
        <w:t xml:space="preserve"> nécessaires à </w:t>
      </w:r>
      <w:proofErr w:type="spellStart"/>
      <w:r w:rsidRPr="00785179">
        <w:rPr>
          <w:rFonts w:ascii="Arial" w:eastAsia="Times New Roman" w:hAnsi="Arial" w:cs="Arial"/>
          <w:sz w:val="20"/>
          <w:szCs w:val="20"/>
        </w:rPr>
        <w:t>cel</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effet</w:t>
      </w:r>
      <w:proofErr w:type="spellEnd"/>
      <w:r w:rsidRPr="00785179">
        <w:rPr>
          <w:rFonts w:ascii="Arial" w:eastAsia="Times New Roman" w:hAnsi="Arial" w:cs="Arial"/>
          <w:sz w:val="20"/>
          <w:szCs w:val="20"/>
        </w:rPr>
        <w:t xml:space="preserve">, - </w:t>
      </w:r>
      <w:proofErr w:type="spellStart"/>
      <w:r w:rsidRPr="00785179">
        <w:rPr>
          <w:rFonts w:ascii="Arial" w:eastAsia="Times New Roman" w:hAnsi="Arial" w:cs="Arial"/>
          <w:sz w:val="20"/>
          <w:szCs w:val="20"/>
        </w:rPr>
        <w:t>songeons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au</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coton</w:t>
      </w:r>
      <w:proofErr w:type="spellEnd"/>
      <w:r w:rsidRPr="00785179">
        <w:rPr>
          <w:rFonts w:ascii="Arial" w:eastAsia="Times New Roman" w:hAnsi="Arial" w:cs="Arial"/>
          <w:sz w:val="20"/>
          <w:szCs w:val="20"/>
        </w:rPr>
        <w:t xml:space="preserve"> passant de </w:t>
      </w:r>
      <w:proofErr w:type="spellStart"/>
      <w:r w:rsidRPr="00785179">
        <w:rPr>
          <w:rFonts w:ascii="Arial" w:eastAsia="Times New Roman" w:hAnsi="Arial" w:cs="Arial"/>
          <w:sz w:val="20"/>
          <w:szCs w:val="20"/>
        </w:rPr>
        <w:t>la</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carderie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dans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l'atelier</w:t>
      </w:r>
      <w:proofErr w:type="spellEnd"/>
      <w:r w:rsidRPr="00785179">
        <w:rPr>
          <w:rFonts w:ascii="Arial" w:eastAsia="Times New Roman" w:hAnsi="Arial" w:cs="Arial"/>
          <w:sz w:val="20"/>
          <w:szCs w:val="20"/>
        </w:rPr>
        <w:t xml:space="preserve"> à </w:t>
      </w:r>
      <w:proofErr w:type="spellStart"/>
      <w:r w:rsidRPr="00785179">
        <w:rPr>
          <w:rFonts w:ascii="Arial" w:eastAsia="Times New Roman" w:hAnsi="Arial" w:cs="Arial"/>
          <w:sz w:val="20"/>
          <w:szCs w:val="20"/>
        </w:rPr>
        <w:t>filer</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au</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charbon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porté</w:t>
      </w:r>
      <w:proofErr w:type="spellEnd"/>
      <w:r w:rsidRPr="00785179">
        <w:rPr>
          <w:rFonts w:ascii="Arial" w:eastAsia="Times New Roman" w:hAnsi="Arial" w:cs="Arial"/>
          <w:sz w:val="20"/>
          <w:szCs w:val="20"/>
        </w:rPr>
        <w:t xml:space="preserve"> de </w:t>
      </w:r>
      <w:proofErr w:type="spellStart"/>
      <w:r w:rsidRPr="00785179">
        <w:rPr>
          <w:rFonts w:ascii="Arial" w:eastAsia="Times New Roman" w:hAnsi="Arial" w:cs="Arial"/>
          <w:sz w:val="20"/>
          <w:szCs w:val="20"/>
        </w:rPr>
        <w:t>la</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taille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sur</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le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carreau</w:t>
      </w:r>
      <w:proofErr w:type="spellEnd"/>
      <w:r w:rsidRPr="00785179">
        <w:rPr>
          <w:rFonts w:ascii="Arial" w:eastAsia="Times New Roman" w:hAnsi="Arial" w:cs="Arial"/>
          <w:sz w:val="20"/>
          <w:szCs w:val="20"/>
        </w:rPr>
        <w:t xml:space="preserve">. Il </w:t>
      </w:r>
      <w:proofErr w:type="spellStart"/>
      <w:r w:rsidRPr="00785179">
        <w:rPr>
          <w:rFonts w:ascii="Arial" w:eastAsia="Times New Roman" w:hAnsi="Arial" w:cs="Arial"/>
          <w:sz w:val="20"/>
          <w:szCs w:val="20"/>
        </w:rPr>
        <w:t>en</w:t>
      </w:r>
      <w:proofErr w:type="spellEnd"/>
      <w:r w:rsidRPr="00785179">
        <w:rPr>
          <w:rFonts w:ascii="Arial" w:eastAsia="Times New Roman" w:hAnsi="Arial" w:cs="Arial"/>
          <w:sz w:val="20"/>
          <w:szCs w:val="20"/>
        </w:rPr>
        <w:t xml:space="preserve"> est de </w:t>
      </w:r>
      <w:proofErr w:type="spellStart"/>
      <w:r w:rsidRPr="00785179">
        <w:rPr>
          <w:rFonts w:ascii="Arial" w:eastAsia="Times New Roman" w:hAnsi="Arial" w:cs="Arial"/>
          <w:sz w:val="20"/>
          <w:szCs w:val="20"/>
        </w:rPr>
        <w:t>même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quoique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l'échelle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soit</w:t>
      </w:r>
      <w:proofErr w:type="spellEnd"/>
      <w:r w:rsidRPr="00785179">
        <w:rPr>
          <w:rFonts w:ascii="Arial" w:eastAsia="Times New Roman" w:hAnsi="Arial" w:cs="Arial"/>
          <w:sz w:val="20"/>
          <w:szCs w:val="20"/>
        </w:rPr>
        <w:t xml:space="preserve"> plus vaste, </w:t>
      </w:r>
      <w:proofErr w:type="spellStart"/>
      <w:r w:rsidRPr="00785179">
        <w:rPr>
          <w:rFonts w:ascii="Arial" w:eastAsia="Times New Roman" w:hAnsi="Arial" w:cs="Arial"/>
          <w:sz w:val="20"/>
          <w:szCs w:val="20"/>
        </w:rPr>
        <w:t>lors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du</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passage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du</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produit</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fini</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en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tant</w:t>
      </w:r>
      <w:proofErr w:type="spellEnd"/>
      <w:r w:rsidRPr="00785179">
        <w:rPr>
          <w:rFonts w:ascii="Arial" w:eastAsia="Times New Roman" w:hAnsi="Arial" w:cs="Arial"/>
          <w:sz w:val="20"/>
          <w:szCs w:val="20"/>
        </w:rPr>
        <w:t xml:space="preserve"> que </w:t>
      </w:r>
      <w:proofErr w:type="spellStart"/>
      <w:r w:rsidRPr="00785179">
        <w:rPr>
          <w:rFonts w:ascii="Arial" w:eastAsia="Times New Roman" w:hAnsi="Arial" w:cs="Arial"/>
          <w:sz w:val="20"/>
          <w:szCs w:val="20"/>
        </w:rPr>
        <w:t>marchandise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finie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Les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métamorphoses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du</w:t>
      </w:r>
      <w:proofErr w:type="spellEnd"/>
      <w:r w:rsidRPr="00785179">
        <w:rPr>
          <w:rFonts w:ascii="Arial" w:eastAsia="Times New Roman" w:hAnsi="Arial" w:cs="Arial"/>
          <w:sz w:val="20"/>
          <w:szCs w:val="20"/>
        </w:rPr>
        <w:t xml:space="preserve"> capital e t </w:t>
      </w:r>
      <w:proofErr w:type="spellStart"/>
      <w:r w:rsidRPr="00785179">
        <w:rPr>
          <w:rFonts w:ascii="Arial" w:eastAsia="Times New Roman" w:hAnsi="Arial" w:cs="Arial"/>
          <w:sz w:val="20"/>
          <w:szCs w:val="20"/>
        </w:rPr>
        <w:t>leur</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cycle</w:t>
      </w:r>
      <w:proofErr w:type="spellEnd"/>
      <w:r w:rsidRPr="00785179">
        <w:rPr>
          <w:rFonts w:ascii="Arial" w:eastAsia="Times New Roman" w:hAnsi="Arial" w:cs="Arial"/>
          <w:sz w:val="20"/>
          <w:szCs w:val="20"/>
        </w:rPr>
        <w:t xml:space="preserve"> d'</w:t>
      </w:r>
      <w:proofErr w:type="spellStart"/>
      <w:r w:rsidRPr="00785179">
        <w:rPr>
          <w:rFonts w:ascii="Arial" w:eastAsia="Times New Roman" w:hAnsi="Arial" w:cs="Arial"/>
          <w:sz w:val="20"/>
          <w:szCs w:val="20"/>
        </w:rPr>
        <w:t>un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lieu</w:t>
      </w:r>
      <w:proofErr w:type="spellEnd"/>
      <w:r w:rsidRPr="00785179">
        <w:rPr>
          <w:rFonts w:ascii="Arial" w:eastAsia="Times New Roman" w:hAnsi="Arial" w:cs="Arial"/>
          <w:sz w:val="20"/>
          <w:szCs w:val="20"/>
        </w:rPr>
        <w:t xml:space="preserve"> de </w:t>
      </w:r>
      <w:proofErr w:type="spellStart"/>
      <w:r w:rsidRPr="00785179">
        <w:rPr>
          <w:rFonts w:ascii="Arial" w:eastAsia="Times New Roman" w:hAnsi="Arial" w:cs="Arial"/>
          <w:sz w:val="20"/>
          <w:szCs w:val="20"/>
        </w:rPr>
        <w:t>production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indépendant</w:t>
      </w:r>
      <w:proofErr w:type="spellEnd"/>
      <w:r w:rsidRPr="00785179">
        <w:rPr>
          <w:rFonts w:ascii="Arial" w:eastAsia="Times New Roman" w:hAnsi="Arial" w:cs="Arial"/>
          <w:sz w:val="20"/>
          <w:szCs w:val="20"/>
        </w:rPr>
        <w:t xml:space="preserve"> à </w:t>
      </w:r>
      <w:proofErr w:type="spellStart"/>
      <w:r w:rsidRPr="00785179">
        <w:rPr>
          <w:rFonts w:ascii="Arial" w:eastAsia="Times New Roman" w:hAnsi="Arial" w:cs="Arial"/>
          <w:sz w:val="20"/>
          <w:szCs w:val="20"/>
        </w:rPr>
        <w:t>un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autre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lieu</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qui</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s'en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trouve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éloigné</w:t>
      </w:r>
      <w:proofErr w:type="spellEnd"/>
      <w:r w:rsidRPr="00785179">
        <w:rPr>
          <w:rFonts w:ascii="Arial" w:eastAsia="Times New Roman" w:hAnsi="Arial" w:cs="Arial"/>
          <w:sz w:val="20"/>
          <w:szCs w:val="20"/>
        </w:rPr>
        <w:t xml:space="preserve">. Le </w:t>
      </w:r>
      <w:proofErr w:type="spellStart"/>
      <w:r w:rsidRPr="00785179">
        <w:rPr>
          <w:rFonts w:ascii="Arial" w:eastAsia="Times New Roman" w:hAnsi="Arial" w:cs="Arial"/>
          <w:sz w:val="20"/>
          <w:szCs w:val="20"/>
        </w:rPr>
        <w:t>transport</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des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produits</w:t>
      </w:r>
      <w:proofErr w:type="spellEnd"/>
      <w:r w:rsidRPr="00785179">
        <w:rPr>
          <w:rFonts w:ascii="Arial" w:eastAsia="Times New Roman" w:hAnsi="Arial" w:cs="Arial"/>
          <w:sz w:val="20"/>
          <w:szCs w:val="20"/>
        </w:rPr>
        <w:t xml:space="preserve"> d'</w:t>
      </w:r>
      <w:proofErr w:type="spellStart"/>
      <w:r w:rsidRPr="00785179">
        <w:rPr>
          <w:rFonts w:ascii="Arial" w:eastAsia="Times New Roman" w:hAnsi="Arial" w:cs="Arial"/>
          <w:sz w:val="20"/>
          <w:szCs w:val="20"/>
        </w:rPr>
        <w:t>un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lieu</w:t>
      </w:r>
      <w:proofErr w:type="spellEnd"/>
      <w:r w:rsidRPr="00785179">
        <w:rPr>
          <w:rFonts w:ascii="Arial" w:eastAsia="Times New Roman" w:hAnsi="Arial" w:cs="Arial"/>
          <w:sz w:val="20"/>
          <w:szCs w:val="20"/>
        </w:rPr>
        <w:t xml:space="preserve"> de </w:t>
      </w:r>
      <w:proofErr w:type="spellStart"/>
      <w:r w:rsidRPr="00785179">
        <w:rPr>
          <w:rFonts w:ascii="Arial" w:eastAsia="Times New Roman" w:hAnsi="Arial" w:cs="Arial"/>
          <w:sz w:val="20"/>
          <w:szCs w:val="20"/>
        </w:rPr>
        <w:t>production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dans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un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autre</w:t>
      </w:r>
      <w:proofErr w:type="spellEnd"/>
      <w:r w:rsidRPr="00785179">
        <w:rPr>
          <w:rFonts w:ascii="Arial" w:eastAsia="Times New Roman" w:hAnsi="Arial" w:cs="Arial"/>
          <w:sz w:val="20"/>
          <w:szCs w:val="20"/>
        </w:rPr>
        <w:t xml:space="preserve"> est encore </w:t>
      </w:r>
      <w:proofErr w:type="spellStart"/>
      <w:r w:rsidRPr="00785179">
        <w:rPr>
          <w:rFonts w:ascii="Arial" w:eastAsia="Times New Roman" w:hAnsi="Arial" w:cs="Arial"/>
          <w:sz w:val="20"/>
          <w:szCs w:val="20"/>
        </w:rPr>
        <w:t>suivi</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du</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transport</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des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produits</w:t>
      </w:r>
      <w:proofErr w:type="spellEnd"/>
      <w:r w:rsidRPr="00785179">
        <w:rPr>
          <w:rFonts w:ascii="Arial" w:eastAsia="Times New Roman" w:hAnsi="Arial" w:cs="Arial"/>
          <w:sz w:val="20"/>
          <w:szCs w:val="20"/>
        </w:rPr>
        <w:t xml:space="preserve"> finis de </w:t>
      </w:r>
      <w:proofErr w:type="spellStart"/>
      <w:r w:rsidRPr="00785179">
        <w:rPr>
          <w:rFonts w:ascii="Arial" w:eastAsia="Times New Roman" w:hAnsi="Arial" w:cs="Arial"/>
          <w:sz w:val="20"/>
          <w:szCs w:val="20"/>
        </w:rPr>
        <w:t>la</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sphère</w:t>
      </w:r>
      <w:proofErr w:type="spellEnd"/>
      <w:r w:rsidRPr="00785179">
        <w:rPr>
          <w:rFonts w:ascii="Arial" w:eastAsia="Times New Roman" w:hAnsi="Arial" w:cs="Arial"/>
          <w:sz w:val="20"/>
          <w:szCs w:val="20"/>
        </w:rPr>
        <w:t xml:space="preserve"> de </w:t>
      </w:r>
      <w:proofErr w:type="spellStart"/>
      <w:r w:rsidRPr="00785179">
        <w:rPr>
          <w:rFonts w:ascii="Arial" w:eastAsia="Times New Roman" w:hAnsi="Arial" w:cs="Arial"/>
          <w:sz w:val="20"/>
          <w:szCs w:val="20"/>
        </w:rPr>
        <w:t>la</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production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dans</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celle</w:t>
      </w:r>
      <w:proofErr w:type="spellEnd"/>
      <w:r w:rsidRPr="00785179">
        <w:rPr>
          <w:rFonts w:ascii="Arial" w:eastAsia="Times New Roman" w:hAnsi="Arial" w:cs="Arial"/>
          <w:sz w:val="20"/>
          <w:szCs w:val="20"/>
        </w:rPr>
        <w:t xml:space="preserve"> de </w:t>
      </w:r>
      <w:proofErr w:type="spellStart"/>
      <w:r w:rsidRPr="00785179">
        <w:rPr>
          <w:rFonts w:ascii="Arial" w:eastAsia="Times New Roman" w:hAnsi="Arial" w:cs="Arial"/>
          <w:sz w:val="20"/>
          <w:szCs w:val="20"/>
        </w:rPr>
        <w:t>la</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consommation</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C’est</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seulement</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quand</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il</w:t>
      </w:r>
      <w:proofErr w:type="spellEnd"/>
      <w:r w:rsidRPr="00785179">
        <w:rPr>
          <w:rFonts w:ascii="Arial" w:eastAsia="Times New Roman" w:hAnsi="Arial" w:cs="Arial"/>
          <w:sz w:val="20"/>
          <w:szCs w:val="20"/>
        </w:rPr>
        <w:t xml:space="preserve"> a </w:t>
      </w:r>
      <w:proofErr w:type="spellStart"/>
      <w:r w:rsidRPr="00785179">
        <w:rPr>
          <w:rFonts w:ascii="Arial" w:eastAsia="Times New Roman" w:hAnsi="Arial" w:cs="Arial"/>
          <w:sz w:val="20"/>
          <w:szCs w:val="20"/>
        </w:rPr>
        <w:t>accompli</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mouvement</w:t>
      </w:r>
      <w:proofErr w:type="spellEnd"/>
      <w:r w:rsidRPr="00785179">
        <w:rPr>
          <w:rFonts w:ascii="Arial" w:eastAsia="Times New Roman" w:hAnsi="Arial" w:cs="Arial"/>
          <w:sz w:val="20"/>
          <w:szCs w:val="20"/>
        </w:rPr>
        <w:t xml:space="preserve"> que </w:t>
      </w:r>
      <w:proofErr w:type="spellStart"/>
      <w:r w:rsidRPr="00785179">
        <w:rPr>
          <w:rFonts w:ascii="Arial" w:eastAsia="Times New Roman" w:hAnsi="Arial" w:cs="Arial"/>
          <w:sz w:val="20"/>
          <w:szCs w:val="20"/>
        </w:rPr>
        <w:t>le</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produit</w:t>
      </w:r>
      <w:proofErr w:type="spellEnd"/>
      <w:r w:rsidRPr="00785179">
        <w:rPr>
          <w:rFonts w:ascii="Arial" w:eastAsia="Times New Roman" w:hAnsi="Arial" w:cs="Arial"/>
          <w:sz w:val="20"/>
          <w:szCs w:val="20"/>
        </w:rPr>
        <w:t xml:space="preserve"> est </w:t>
      </w:r>
      <w:proofErr w:type="spellStart"/>
      <w:r w:rsidRPr="00785179">
        <w:rPr>
          <w:rFonts w:ascii="Arial" w:eastAsia="Times New Roman" w:hAnsi="Arial" w:cs="Arial"/>
          <w:sz w:val="20"/>
          <w:szCs w:val="20"/>
        </w:rPr>
        <w:t>prêt</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pour</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la</w:t>
      </w:r>
      <w:proofErr w:type="spellEnd"/>
      <w:r w:rsidRPr="00785179">
        <w:rPr>
          <w:rFonts w:ascii="Arial" w:eastAsia="Times New Roman" w:hAnsi="Arial" w:cs="Arial"/>
          <w:sz w:val="20"/>
          <w:szCs w:val="20"/>
        </w:rPr>
        <w:t xml:space="preserve"> </w:t>
      </w:r>
      <w:proofErr w:type="spellStart"/>
      <w:r w:rsidRPr="00785179">
        <w:rPr>
          <w:rFonts w:ascii="Arial" w:eastAsia="Times New Roman" w:hAnsi="Arial" w:cs="Arial"/>
          <w:sz w:val="20"/>
          <w:szCs w:val="20"/>
        </w:rPr>
        <w:t>consommation</w:t>
      </w:r>
      <w:proofErr w:type="spellEnd"/>
      <w:r w:rsidRPr="00785179">
        <w:rPr>
          <w:rFonts w:ascii="Arial" w:eastAsia="Times New Roman" w:hAnsi="Arial" w:cs="Arial"/>
          <w:sz w:val="20"/>
          <w:szCs w:val="20"/>
          <w:vertAlign w:val="superscript"/>
        </w:rPr>
        <w:footnoteReference w:id="45"/>
      </w:r>
      <w:r w:rsidRPr="00785179">
        <w:rPr>
          <w:rFonts w:ascii="Arial" w:eastAsia="Times New Roman" w:hAnsi="Arial" w:cs="Arial"/>
          <w:sz w:val="20"/>
          <w:szCs w:val="20"/>
        </w:rPr>
        <w:t>.</w:t>
      </w:r>
    </w:p>
    <w:p w14:paraId="760EC458" w14:textId="77777777" w:rsidR="00785179" w:rsidRPr="0040766B" w:rsidRDefault="00785179" w:rsidP="00785179">
      <w:pPr>
        <w:tabs>
          <w:tab w:val="left" w:pos="989"/>
        </w:tabs>
        <w:spacing w:after="0" w:line="240" w:lineRule="auto"/>
        <w:ind w:left="2268"/>
        <w:jc w:val="both"/>
        <w:rPr>
          <w:rFonts w:ascii="Arial" w:eastAsia="Times New Roman" w:hAnsi="Arial" w:cs="Arial"/>
          <w:sz w:val="24"/>
          <w:szCs w:val="24"/>
        </w:rPr>
      </w:pPr>
    </w:p>
    <w:p w14:paraId="2F8F62AC"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As metamorfoses do clico do capital de um local de produção independente para outro local, distante dele, caracteriza o transporte de produtos de um local de produção para outro, de produtos acabados da esfera de produção para a de consumo. Somente quando esse movimento for realizado é que o produto estará pronto para consumo.</w:t>
      </w:r>
    </w:p>
    <w:p w14:paraId="2AC94052"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O ponto onde o capitalista recebe as receitas que lhe proporcionam o seu capital: é aqui que ele volta a contratar os seus trabalhadores e a distribuir-lhes a sua subsistência, ou melhor, sob a forma de salários, o poder de obter isto; receber dois já prontos os artigos que são sua especialidade; levar esses artigos ao mercado para completar o ciclo desta série de movimentos, vendendo a sua mercadoria e recebendo, no valor da venda, o reembolso da totalidade do seu adiantamento de capital no período considerado. </w:t>
      </w:r>
    </w:p>
    <w:p w14:paraId="05B5497B"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Como a alquimia do capital não pode se eternizar sem alguma modalidade interativa entre trabalho vivo e trabalho morto, o moinho satânico não descansa. Cria e recria, produz e destrói, cria novos espaços e também </w:t>
      </w:r>
      <w:proofErr w:type="spellStart"/>
      <w:r w:rsidRPr="0040766B">
        <w:rPr>
          <w:rFonts w:ascii="Arial" w:eastAsia="Times New Roman" w:hAnsi="Arial" w:cs="Arial"/>
          <w:sz w:val="24"/>
          <w:szCs w:val="24"/>
        </w:rPr>
        <w:lastRenderedPageBreak/>
        <w:t>desespacializa</w:t>
      </w:r>
      <w:proofErr w:type="spellEnd"/>
      <w:r w:rsidRPr="0040766B">
        <w:rPr>
          <w:rFonts w:ascii="Arial" w:eastAsia="Times New Roman" w:hAnsi="Arial" w:cs="Arial"/>
          <w:sz w:val="24"/>
          <w:szCs w:val="24"/>
        </w:rPr>
        <w:t xml:space="preserve">. Vale qualquer coisa para extrair mais-valor. Com o mundo </w:t>
      </w:r>
      <w:proofErr w:type="spellStart"/>
      <w:r w:rsidRPr="0040766B">
        <w:rPr>
          <w:rFonts w:ascii="Arial" w:eastAsia="Times New Roman" w:hAnsi="Arial" w:cs="Arial"/>
          <w:sz w:val="24"/>
          <w:szCs w:val="24"/>
        </w:rPr>
        <w:t>maquínico</w:t>
      </w:r>
      <w:proofErr w:type="spellEnd"/>
      <w:r w:rsidRPr="0040766B">
        <w:rPr>
          <w:rFonts w:ascii="Arial" w:eastAsia="Times New Roman" w:hAnsi="Arial" w:cs="Arial"/>
          <w:sz w:val="24"/>
          <w:szCs w:val="24"/>
        </w:rPr>
        <w:t>-informacional-digital tudo ficou mais fácil para o capital e todos os espaços possíveis são potencialmente convertidos em geradores de mais-valor. E se este nasce na esfera da produção (Livro I), Marx nos recorda que produção é também consumo, distribuição e troca/circulação</w:t>
      </w:r>
      <w:r w:rsidRPr="0040766B">
        <w:rPr>
          <w:rFonts w:ascii="Arial" w:eastAsia="Times New Roman" w:hAnsi="Arial" w:cs="Arial"/>
          <w:sz w:val="24"/>
          <w:szCs w:val="24"/>
          <w:vertAlign w:val="superscript"/>
        </w:rPr>
        <w:footnoteReference w:id="46"/>
      </w:r>
      <w:r w:rsidRPr="0040766B">
        <w:rPr>
          <w:rFonts w:ascii="Arial" w:eastAsia="Times New Roman" w:hAnsi="Arial" w:cs="Arial"/>
          <w:sz w:val="24"/>
          <w:szCs w:val="24"/>
        </w:rPr>
        <w:t>.</w:t>
      </w:r>
    </w:p>
    <w:p w14:paraId="16D0B64C"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Importante lembrar com Paul </w:t>
      </w:r>
      <w:proofErr w:type="spellStart"/>
      <w:r w:rsidRPr="0040766B">
        <w:rPr>
          <w:rFonts w:ascii="Arial" w:eastAsia="Times New Roman" w:hAnsi="Arial" w:cs="Arial"/>
          <w:sz w:val="24"/>
          <w:szCs w:val="24"/>
        </w:rPr>
        <w:t>Rabinow</w:t>
      </w:r>
      <w:proofErr w:type="spellEnd"/>
      <w:r w:rsidRPr="0040766B">
        <w:rPr>
          <w:rFonts w:ascii="Arial" w:eastAsia="Times New Roman" w:hAnsi="Arial" w:cs="Arial"/>
          <w:sz w:val="24"/>
          <w:szCs w:val="24"/>
        </w:rPr>
        <w:t xml:space="preserve"> e Hubert Dreyfus (1995, p. 202), que a analítica do poder proposta por Foucault é um campo de forças em permanente tensão, isto é, não possui equilíbrio e estabilidade, sempre atravessado (o poder), por múltiplos confrontos de desejos que não estão numa unidade/totalidade fixa. Por isso, a relações de poder seriam abertas, o que requer uma análise de sua situação em dado momento, na proposta assimétrica e móbil num determinado momento específico. </w:t>
      </w:r>
    </w:p>
    <w:p w14:paraId="5FEE4771"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Assim, Foucault elenca que os poderes não podem ser compreendidos por derivação</w:t>
      </w:r>
      <w:r w:rsidRPr="0040766B">
        <w:rPr>
          <w:rFonts w:ascii="Arial" w:eastAsia="Times New Roman" w:hAnsi="Arial" w:cs="Arial"/>
          <w:sz w:val="24"/>
          <w:szCs w:val="24"/>
          <w:vertAlign w:val="superscript"/>
        </w:rPr>
        <w:footnoteReference w:id="47"/>
      </w:r>
      <w:r w:rsidRPr="0040766B">
        <w:rPr>
          <w:rFonts w:ascii="Arial" w:eastAsia="Times New Roman" w:hAnsi="Arial" w:cs="Arial"/>
          <w:sz w:val="24"/>
          <w:szCs w:val="24"/>
        </w:rPr>
        <w:t xml:space="preserve">, como consequência de uma espécie de poder central. Marx na visão de Foucault não reconhece o poder como sendo algo central, no esquema </w:t>
      </w:r>
      <w:proofErr w:type="spellStart"/>
      <w:r w:rsidRPr="0040766B">
        <w:rPr>
          <w:rFonts w:ascii="Arial" w:eastAsia="Times New Roman" w:hAnsi="Arial" w:cs="Arial"/>
          <w:sz w:val="24"/>
          <w:szCs w:val="24"/>
        </w:rPr>
        <w:t>Rosseauniano</w:t>
      </w:r>
      <w:proofErr w:type="spellEnd"/>
      <w:r w:rsidRPr="0040766B">
        <w:rPr>
          <w:rFonts w:ascii="Arial" w:eastAsia="Times New Roman" w:hAnsi="Arial" w:cs="Arial"/>
          <w:sz w:val="24"/>
          <w:szCs w:val="24"/>
        </w:rPr>
        <w:t xml:space="preserve">, de uma soberania organizadora do corpo social, mas reconhece a existência da propriedade, da servidão, do ateliê e do exército que se formaram, pouco a pouco, aparelhos de Estado. </w:t>
      </w:r>
    </w:p>
    <w:p w14:paraId="53379EFA"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A função desses poderes regionais seria em realidade, serem produtores de uma eficiência, produtores de um produto. Embora Foucault não faça uma análise do exército a partir da obra de Marx, ele alerta para função da hierarquia e o papel de cada um no processo produtivo de poder a partir dessa divisão hierárquica. De igual modo, ele analisa a divisão do trabalho nos ateliês, </w:t>
      </w:r>
      <w:r w:rsidRPr="0040766B">
        <w:rPr>
          <w:rFonts w:ascii="Arial" w:eastAsia="Times New Roman" w:hAnsi="Arial" w:cs="Arial"/>
          <w:sz w:val="24"/>
          <w:szCs w:val="24"/>
        </w:rPr>
        <w:lastRenderedPageBreak/>
        <w:t>aqui já a partir de Marx, em que sem hierarquia, vigilância e disciplina (mestre, contramestre, o cronometro dos gestos), não seria viável a nova técnica de poder</w:t>
      </w:r>
      <w:r w:rsidRPr="0040766B">
        <w:rPr>
          <w:rFonts w:ascii="Arial" w:eastAsia="Times New Roman" w:hAnsi="Arial" w:cs="Arial"/>
          <w:sz w:val="24"/>
          <w:szCs w:val="24"/>
          <w:vertAlign w:val="superscript"/>
        </w:rPr>
        <w:footnoteReference w:id="48"/>
      </w:r>
      <w:r w:rsidRPr="0040766B">
        <w:rPr>
          <w:rFonts w:ascii="Arial" w:eastAsia="Times New Roman" w:hAnsi="Arial" w:cs="Arial"/>
          <w:sz w:val="24"/>
          <w:szCs w:val="24"/>
        </w:rPr>
        <w:t xml:space="preserve">. </w:t>
      </w:r>
    </w:p>
    <w:p w14:paraId="17DAD05D"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Em Vigiar e Punir (1975, p.199), Foucault destaca que:</w:t>
      </w:r>
    </w:p>
    <w:p w14:paraId="407836B5" w14:textId="77777777" w:rsidR="00785179" w:rsidRPr="00785179" w:rsidRDefault="00785179" w:rsidP="00785179">
      <w:pPr>
        <w:tabs>
          <w:tab w:val="left" w:pos="989"/>
        </w:tabs>
        <w:spacing w:after="0" w:line="240" w:lineRule="auto"/>
        <w:ind w:left="2268"/>
        <w:jc w:val="both"/>
        <w:rPr>
          <w:rFonts w:ascii="Arial" w:eastAsia="Times New Roman" w:hAnsi="Arial" w:cs="Arial"/>
          <w:sz w:val="20"/>
          <w:szCs w:val="20"/>
        </w:rPr>
      </w:pPr>
      <w:r w:rsidRPr="00785179">
        <w:rPr>
          <w:rFonts w:ascii="Arial" w:eastAsia="Times New Roman" w:hAnsi="Arial" w:cs="Arial"/>
          <w:sz w:val="20"/>
          <w:szCs w:val="20"/>
        </w:rPr>
        <w:t xml:space="preserve">A vigilância hierarquizada, contínua e funcional não é, sem dúvida, uma das grandes “invenções” técnicas do século XVIII, mas sua insidiosa extensão deve sua importância às novas mecânicas de poder, que traz consigo. O poder disciplinar, graças a ela, torna-se um sistema “integrado”, ligado do interior à economia e aos fins do dispositivo onde é exercido. Organiza-se assim como um poder múltiplo, automático e anônimo; pois, se é verdade que a vigilância repousa sobre indivíduos, seu funcionamento é de uma rede de relações de alto a baixo, mas também até um certo ponto de baixo para cima e lateralmente; essa rede “sustenta” o conjunto, e o perpassa de efeitos de poder que se apoiam uns sobre os outros: fiscais perpetuamente fiscalizados. </w:t>
      </w:r>
    </w:p>
    <w:p w14:paraId="5ED79D10" w14:textId="77777777" w:rsidR="00785179" w:rsidRPr="0040766B" w:rsidRDefault="00785179" w:rsidP="00785179">
      <w:pPr>
        <w:tabs>
          <w:tab w:val="left" w:pos="989"/>
        </w:tabs>
        <w:spacing w:after="0" w:line="240" w:lineRule="auto"/>
        <w:ind w:left="2268"/>
        <w:jc w:val="both"/>
        <w:rPr>
          <w:rFonts w:ascii="Arial" w:eastAsia="Times New Roman" w:hAnsi="Arial" w:cs="Arial"/>
          <w:sz w:val="24"/>
          <w:szCs w:val="24"/>
        </w:rPr>
      </w:pPr>
    </w:p>
    <w:p w14:paraId="10B14A74"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O poder na vigilância hierarquizada das disciplinas não se detém como uma coisa, não se transfere como uma propriedade; funciona como uma máquina. Assim, esses procedimentos de poder devem ser vistos como técnica, existindo uma verdadeira tecnologia dos poderes. Entretanto, o autor alerta para a questão envolvendo a superestrutura jurídica</w:t>
      </w:r>
      <w:r w:rsidRPr="0040766B">
        <w:rPr>
          <w:rFonts w:ascii="Arial" w:eastAsia="Times New Roman" w:hAnsi="Arial" w:cs="Arial"/>
          <w:sz w:val="24"/>
          <w:szCs w:val="24"/>
          <w:vertAlign w:val="superscript"/>
        </w:rPr>
        <w:footnoteReference w:id="49"/>
      </w:r>
      <w:r w:rsidRPr="0040766B">
        <w:rPr>
          <w:rFonts w:ascii="Arial" w:eastAsia="Times New Roman" w:hAnsi="Arial" w:cs="Arial"/>
          <w:sz w:val="24"/>
          <w:szCs w:val="24"/>
        </w:rPr>
        <w:t>do Estado (</w:t>
      </w:r>
      <w:proofErr w:type="spellStart"/>
      <w:r w:rsidRPr="0040766B">
        <w:rPr>
          <w:rFonts w:ascii="Arial" w:eastAsia="Times New Roman" w:hAnsi="Arial" w:cs="Arial"/>
          <w:sz w:val="24"/>
          <w:szCs w:val="24"/>
        </w:rPr>
        <w:t>rousseanizar</w:t>
      </w:r>
      <w:proofErr w:type="spellEnd"/>
      <w:r w:rsidRPr="0040766B">
        <w:rPr>
          <w:rFonts w:ascii="Arial" w:eastAsia="Times New Roman" w:hAnsi="Arial" w:cs="Arial"/>
          <w:sz w:val="24"/>
          <w:szCs w:val="24"/>
        </w:rPr>
        <w:t xml:space="preserve"> Marx, que ele denomina), acerca do privilégio dado ao aparelho de Estado</w:t>
      </w:r>
      <w:r w:rsidRPr="0040766B">
        <w:rPr>
          <w:rFonts w:ascii="Arial" w:eastAsia="Times New Roman" w:hAnsi="Arial" w:cs="Arial"/>
          <w:sz w:val="24"/>
          <w:szCs w:val="24"/>
          <w:vertAlign w:val="superscript"/>
        </w:rPr>
        <w:footnoteReference w:id="50"/>
      </w:r>
      <w:r w:rsidRPr="0040766B">
        <w:rPr>
          <w:rFonts w:ascii="Arial" w:eastAsia="Times New Roman" w:hAnsi="Arial" w:cs="Arial"/>
          <w:sz w:val="24"/>
          <w:szCs w:val="24"/>
        </w:rPr>
        <w:t xml:space="preserve">, caindo no risco de reinserir o seu pensamento na teoria burguesa e jurídica do poder. </w:t>
      </w:r>
    </w:p>
    <w:p w14:paraId="7C81FD3C"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A totalidade dessas relações de produção constitui a estrutura econômica da sociedade, a base real sobre a qual se eleva uma superestrutura </w:t>
      </w:r>
      <w:r w:rsidRPr="0040766B">
        <w:rPr>
          <w:rFonts w:ascii="Arial" w:eastAsia="Times New Roman" w:hAnsi="Arial" w:cs="Arial"/>
          <w:sz w:val="24"/>
          <w:szCs w:val="24"/>
        </w:rPr>
        <w:lastRenderedPageBreak/>
        <w:t xml:space="preserve">jurídica e política e à qual correspondem formas sociais determinadas de consciência. Foucault chama a atenção para a ideia da superestrutura jurídica no pensamento de Marx, alertando para problema de saber como funcionar suas ideias no interior de um sistema jurídico burguês.  </w:t>
      </w:r>
    </w:p>
    <w:p w14:paraId="55458904" w14:textId="704F8CDD" w:rsidR="00785179" w:rsidRPr="00785179"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t xml:space="preserve">Assim, o dualismo acadêmico da luta de classes para compreensão do poder não será encontrado em Marx, porém em pensadores racistas como </w:t>
      </w:r>
      <w:proofErr w:type="spellStart"/>
      <w:r w:rsidRPr="0040766B">
        <w:rPr>
          <w:rFonts w:ascii="Arial" w:eastAsia="Times New Roman" w:hAnsi="Arial" w:cs="Arial"/>
          <w:i/>
          <w:iCs/>
          <w:sz w:val="24"/>
          <w:szCs w:val="24"/>
        </w:rPr>
        <w:t>Gabinoeau</w:t>
      </w:r>
      <w:proofErr w:type="spellEnd"/>
      <w:r w:rsidRPr="0040766B">
        <w:rPr>
          <w:rFonts w:ascii="Arial" w:eastAsia="Times New Roman" w:hAnsi="Arial" w:cs="Arial"/>
          <w:sz w:val="24"/>
          <w:szCs w:val="24"/>
        </w:rPr>
        <w:t xml:space="preserve">. No viés de Foucault, Marx tinha conhecimento que o poder perpassa por toda a parte, inclusive a classe operária reproduz e, portanto, exerce as relações de poder, assim como, os estudantes estão em certa situação de poder. Em linhas gerais, nós exercemos o poder, sendo importante a compreensão de suas malhas, isto é, onde se localiza cada um nessa rede. </w:t>
      </w:r>
    </w:p>
    <w:p w14:paraId="17EC1BD6" w14:textId="77777777" w:rsidR="002C413A" w:rsidRPr="00322D78" w:rsidRDefault="002C413A" w:rsidP="002C413A">
      <w:pPr>
        <w:spacing w:after="0" w:line="360" w:lineRule="auto"/>
        <w:ind w:firstLine="567"/>
        <w:jc w:val="both"/>
        <w:rPr>
          <w:rFonts w:ascii="Arial" w:hAnsi="Arial" w:cs="Arial"/>
          <w:sz w:val="24"/>
          <w:szCs w:val="24"/>
        </w:rPr>
      </w:pPr>
    </w:p>
    <w:p w14:paraId="57F4ACA5" w14:textId="4B098407" w:rsidR="002C413A" w:rsidRPr="00FC53A2" w:rsidRDefault="00892D07" w:rsidP="00FC53A2">
      <w:pPr>
        <w:pStyle w:val="PargrafodaLista"/>
        <w:numPr>
          <w:ilvl w:val="0"/>
          <w:numId w:val="39"/>
        </w:numPr>
        <w:spacing w:after="0" w:line="360" w:lineRule="auto"/>
        <w:jc w:val="both"/>
        <w:rPr>
          <w:rFonts w:ascii="Arial" w:hAnsi="Arial" w:cs="Arial"/>
          <w:b/>
          <w:bCs/>
          <w:sz w:val="24"/>
          <w:szCs w:val="24"/>
          <w:lang w:val="en-US"/>
        </w:rPr>
      </w:pPr>
      <w:r>
        <w:rPr>
          <w:rFonts w:ascii="Arial" w:hAnsi="Arial" w:cs="Arial"/>
          <w:b/>
          <w:bCs/>
          <w:sz w:val="24"/>
          <w:szCs w:val="24"/>
          <w:lang w:val="en-US"/>
        </w:rPr>
        <w:t>CONCLUSÃO</w:t>
      </w:r>
    </w:p>
    <w:p w14:paraId="5D2C00C8" w14:textId="77777777" w:rsidR="002C413A" w:rsidRDefault="002C413A" w:rsidP="002C413A">
      <w:pPr>
        <w:spacing w:after="0" w:line="360" w:lineRule="auto"/>
        <w:jc w:val="both"/>
        <w:rPr>
          <w:rFonts w:ascii="Arial" w:hAnsi="Arial" w:cs="Arial"/>
          <w:b/>
          <w:bCs/>
          <w:sz w:val="24"/>
          <w:szCs w:val="24"/>
          <w:lang w:val="en-US"/>
        </w:rPr>
      </w:pPr>
    </w:p>
    <w:p w14:paraId="7A642BAB" w14:textId="3F711061" w:rsidR="00785179" w:rsidRPr="0040766B" w:rsidRDefault="00785179" w:rsidP="00785179">
      <w:pPr>
        <w:tabs>
          <w:tab w:val="left" w:pos="989"/>
        </w:tabs>
        <w:spacing w:after="0" w:line="360" w:lineRule="auto"/>
        <w:jc w:val="both"/>
        <w:rPr>
          <w:rFonts w:ascii="Arial" w:eastAsia="Times New Roman" w:hAnsi="Arial" w:cs="Arial"/>
          <w:sz w:val="24"/>
          <w:szCs w:val="24"/>
        </w:rPr>
      </w:pPr>
      <w:r>
        <w:rPr>
          <w:rFonts w:ascii="Arial" w:eastAsia="Times New Roman" w:hAnsi="Arial" w:cs="Arial"/>
          <w:sz w:val="24"/>
          <w:szCs w:val="24"/>
        </w:rPr>
        <w:tab/>
      </w:r>
      <w:r w:rsidRPr="0040766B">
        <w:rPr>
          <w:rFonts w:ascii="Arial" w:eastAsia="Times New Roman" w:hAnsi="Arial" w:cs="Arial"/>
          <w:sz w:val="24"/>
          <w:szCs w:val="24"/>
        </w:rPr>
        <w:t xml:space="preserve">A teoria da soberania jurídica estrutura-se historicamente a partir do modelo político monárquico, tomando-o como paradigma de organização do poder e da autoridade. Nesse quadro, o Leviatã hobbesiano figura como metáfora de um corpo político artificial produzido pelo contrato social, por meio do qual indivíduos concretos são integrados a uma unidade política superior, constituindo o corpo de cidadãos que sustenta a soberania estatal. </w:t>
      </w:r>
    </w:p>
    <w:p w14:paraId="6FEC3B93"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r>
      <w:r w:rsidRPr="0040766B">
        <w:rPr>
          <w:rFonts w:ascii="Arial" w:eastAsia="Times New Roman" w:hAnsi="Arial" w:cs="Arial"/>
          <w:sz w:val="24"/>
          <w:szCs w:val="24"/>
        </w:rPr>
        <w:tab/>
        <w:t xml:space="preserve">Portanto, a perspectiva foucaultiana propõe um deslocamento metodológico ao sustentar que a análise do poder não deve restringir-se ao domínio jurídico-institucional nem à centralidade do Estado. O poder deve ser investigado nas múltiplas relações sociais em que se manifesta, operando de forma difusa, capilar e </w:t>
      </w:r>
      <w:proofErr w:type="spellStart"/>
      <w:r w:rsidRPr="0040766B">
        <w:rPr>
          <w:rFonts w:ascii="Arial" w:eastAsia="Times New Roman" w:hAnsi="Arial" w:cs="Arial"/>
          <w:sz w:val="24"/>
          <w:szCs w:val="24"/>
        </w:rPr>
        <w:t>ascentralizada</w:t>
      </w:r>
      <w:proofErr w:type="spellEnd"/>
      <w:r w:rsidRPr="0040766B">
        <w:rPr>
          <w:rFonts w:ascii="Arial" w:eastAsia="Times New Roman" w:hAnsi="Arial" w:cs="Arial"/>
          <w:sz w:val="24"/>
          <w:szCs w:val="24"/>
        </w:rPr>
        <w:t xml:space="preserve"> por meio de dispositivos disciplinares e mecanismos de normalização que estruturam práticas e subjetividades.</w:t>
      </w:r>
    </w:p>
    <w:p w14:paraId="54B66B5D" w14:textId="77777777" w:rsidR="00785179" w:rsidRPr="0040766B"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r>
      <w:r w:rsidRPr="0040766B">
        <w:rPr>
          <w:rFonts w:ascii="Arial" w:eastAsia="Times New Roman" w:hAnsi="Arial" w:cs="Arial"/>
          <w:sz w:val="24"/>
          <w:szCs w:val="24"/>
        </w:rPr>
        <w:tab/>
        <w:t xml:space="preserve">O pensamento Foucaultiano, em linhas gerais, não está identificado com os limites estatais, vinculado aos enunciados das normas jurídicas e do direito. Sua proposta é pensar o direito como instrumento de dominação a partir das relações de poder, nas Microfísica das relações sociais, em que se verifica um sociólogo e filósofo do direito, expondo as malhas jurídicas do poder e dos </w:t>
      </w:r>
      <w:proofErr w:type="spellStart"/>
      <w:r w:rsidRPr="0040766B">
        <w:rPr>
          <w:rFonts w:ascii="Arial" w:eastAsia="Times New Roman" w:hAnsi="Arial" w:cs="Arial"/>
          <w:sz w:val="24"/>
          <w:szCs w:val="24"/>
        </w:rPr>
        <w:t>ilegalismos</w:t>
      </w:r>
      <w:proofErr w:type="spellEnd"/>
      <w:r w:rsidRPr="0040766B">
        <w:rPr>
          <w:rFonts w:ascii="Arial" w:eastAsia="Times New Roman" w:hAnsi="Arial" w:cs="Arial"/>
          <w:sz w:val="24"/>
          <w:szCs w:val="24"/>
        </w:rPr>
        <w:t xml:space="preserve">, da prisão como fábrica de delinquentes com utilidade </w:t>
      </w:r>
      <w:r w:rsidRPr="0040766B">
        <w:rPr>
          <w:rFonts w:ascii="Arial" w:eastAsia="Times New Roman" w:hAnsi="Arial" w:cs="Arial"/>
          <w:sz w:val="24"/>
          <w:szCs w:val="24"/>
        </w:rPr>
        <w:lastRenderedPageBreak/>
        <w:t xml:space="preserve">para fazer circular o poder na lógica da produção de indivíduos obedientes no interior do sistema econômico. </w:t>
      </w:r>
    </w:p>
    <w:p w14:paraId="0FEB805A" w14:textId="31FD1AD3" w:rsidR="002C413A" w:rsidRPr="00785179" w:rsidRDefault="00785179" w:rsidP="00785179">
      <w:pPr>
        <w:tabs>
          <w:tab w:val="left" w:pos="989"/>
        </w:tabs>
        <w:spacing w:after="0" w:line="360" w:lineRule="auto"/>
        <w:jc w:val="both"/>
        <w:rPr>
          <w:rFonts w:ascii="Arial" w:eastAsia="Times New Roman" w:hAnsi="Arial" w:cs="Arial"/>
          <w:sz w:val="24"/>
          <w:szCs w:val="24"/>
        </w:rPr>
      </w:pPr>
      <w:r w:rsidRPr="0040766B">
        <w:rPr>
          <w:rFonts w:ascii="Arial" w:eastAsia="Times New Roman" w:hAnsi="Arial" w:cs="Arial"/>
          <w:sz w:val="24"/>
          <w:szCs w:val="24"/>
        </w:rPr>
        <w:t xml:space="preserve"> </w:t>
      </w:r>
      <w:r w:rsidRPr="0040766B">
        <w:rPr>
          <w:rFonts w:ascii="Arial" w:eastAsia="Times New Roman" w:hAnsi="Arial" w:cs="Arial"/>
          <w:sz w:val="24"/>
          <w:szCs w:val="24"/>
        </w:rPr>
        <w:tab/>
      </w:r>
      <w:r w:rsidRPr="0040766B">
        <w:rPr>
          <w:rFonts w:ascii="Arial" w:eastAsia="Times New Roman" w:hAnsi="Arial" w:cs="Arial"/>
          <w:sz w:val="24"/>
          <w:szCs w:val="24"/>
        </w:rPr>
        <w:tab/>
        <w:t xml:space="preserve">De um lócus diferenciado, na visão teórica e arqueológica de Foucault, surge uma discussão auspiciosa em relação às práticas jurídicas como instrumentos de normalização, aliadas a outras práticas não jurídicas, a partir das técnicas e táticas de dominação/disciplinadoras (a sexualidade, o sistema punitivo, o exército, a educação, os ateliês), cuja disciplina, a hierarquia, a vigilância e o controle dos átomos sociais (corpos dos indivíduos), produzem “indivíduos individualizantes” aptos a funcionarem como máquinas de produção de riqueza, de circulação do poder e de outros indivíduos.  </w:t>
      </w:r>
    </w:p>
    <w:p w14:paraId="58A7B411" w14:textId="536AC1D4" w:rsidR="002C413A" w:rsidRDefault="00892D07" w:rsidP="00FC53A2">
      <w:pPr>
        <w:pStyle w:val="PargrafodaLista"/>
        <w:numPr>
          <w:ilvl w:val="0"/>
          <w:numId w:val="39"/>
        </w:numPr>
        <w:pBdr>
          <w:top w:val="nil"/>
          <w:left w:val="nil"/>
          <w:bottom w:val="nil"/>
          <w:right w:val="nil"/>
          <w:between w:val="nil"/>
        </w:pBdr>
        <w:spacing w:after="120" w:line="360" w:lineRule="auto"/>
        <w:jc w:val="both"/>
        <w:rPr>
          <w:rFonts w:ascii="Arial" w:hAnsi="Arial" w:cs="Arial"/>
          <w:b/>
          <w:sz w:val="24"/>
          <w:szCs w:val="24"/>
        </w:rPr>
      </w:pPr>
      <w:r>
        <w:rPr>
          <w:rFonts w:ascii="Arial" w:hAnsi="Arial" w:cs="Arial"/>
          <w:b/>
          <w:sz w:val="24"/>
          <w:szCs w:val="24"/>
        </w:rPr>
        <w:t>REFERENCIAS BIBLIOGRÁFICAS</w:t>
      </w:r>
    </w:p>
    <w:p w14:paraId="517F0465" w14:textId="77777777" w:rsidR="00785179" w:rsidRDefault="00785179" w:rsidP="00785179">
      <w:pPr>
        <w:pBdr>
          <w:top w:val="nil"/>
          <w:left w:val="nil"/>
          <w:bottom w:val="nil"/>
          <w:right w:val="nil"/>
          <w:between w:val="nil"/>
        </w:pBdr>
        <w:spacing w:after="120" w:line="360" w:lineRule="auto"/>
        <w:jc w:val="both"/>
        <w:rPr>
          <w:rFonts w:ascii="Arial" w:hAnsi="Arial" w:cs="Arial"/>
          <w:sz w:val="24"/>
          <w:szCs w:val="24"/>
        </w:rPr>
      </w:pPr>
    </w:p>
    <w:p w14:paraId="206247BB"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highlight w:val="white"/>
        </w:rPr>
      </w:pPr>
      <w:r w:rsidRPr="0040766B">
        <w:rPr>
          <w:rFonts w:ascii="Arial" w:eastAsia="Times New Roman" w:hAnsi="Arial" w:cs="Arial"/>
          <w:sz w:val="24"/>
          <w:szCs w:val="24"/>
        </w:rPr>
        <w:t xml:space="preserve">AMARAL, Augusto Jobim. </w:t>
      </w:r>
      <w:proofErr w:type="spellStart"/>
      <w:r w:rsidRPr="00785179">
        <w:rPr>
          <w:rFonts w:ascii="Arial" w:eastAsia="Times New Roman" w:hAnsi="Arial" w:cs="Arial"/>
          <w:i/>
          <w:iCs/>
          <w:sz w:val="24"/>
          <w:szCs w:val="24"/>
        </w:rPr>
        <w:t>Biopolitica</w:t>
      </w:r>
      <w:proofErr w:type="spellEnd"/>
      <w:r w:rsidRPr="00785179">
        <w:rPr>
          <w:rFonts w:ascii="Arial" w:eastAsia="Times New Roman" w:hAnsi="Arial" w:cs="Arial"/>
          <w:i/>
          <w:iCs/>
          <w:sz w:val="24"/>
          <w:szCs w:val="24"/>
        </w:rPr>
        <w:t xml:space="preserve"> e </w:t>
      </w:r>
      <w:proofErr w:type="spellStart"/>
      <w:r w:rsidRPr="00785179">
        <w:rPr>
          <w:rFonts w:ascii="Arial" w:eastAsia="Times New Roman" w:hAnsi="Arial" w:cs="Arial"/>
          <w:i/>
          <w:iCs/>
          <w:sz w:val="24"/>
          <w:szCs w:val="24"/>
        </w:rPr>
        <w:t>Biocapitalismo</w:t>
      </w:r>
      <w:proofErr w:type="spellEnd"/>
      <w:r w:rsidRPr="0040766B">
        <w:rPr>
          <w:rFonts w:ascii="Arial" w:eastAsia="Times New Roman" w:hAnsi="Arial" w:cs="Arial"/>
          <w:sz w:val="24"/>
          <w:szCs w:val="24"/>
        </w:rPr>
        <w:t xml:space="preserve">: Implicações da violência e do controle. </w:t>
      </w:r>
      <w:r w:rsidRPr="0040766B">
        <w:rPr>
          <w:rFonts w:ascii="Arial" w:eastAsia="Times New Roman" w:hAnsi="Arial" w:cs="Arial"/>
          <w:sz w:val="24"/>
          <w:szCs w:val="24"/>
          <w:highlight w:val="white"/>
        </w:rPr>
        <w:t>Veritas. Porto Alegre, v.63,n.2,maio-ago.2018.</w:t>
      </w:r>
    </w:p>
    <w:p w14:paraId="75669650"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highlight w:val="white"/>
        </w:rPr>
      </w:pPr>
    </w:p>
    <w:p w14:paraId="7BA182E7" w14:textId="77777777" w:rsidR="00785179" w:rsidRPr="0040766B" w:rsidRDefault="00785179" w:rsidP="00785179">
      <w:pPr>
        <w:pBdr>
          <w:top w:val="nil"/>
          <w:left w:val="nil"/>
          <w:bottom w:val="nil"/>
          <w:right w:val="nil"/>
          <w:between w:val="nil"/>
        </w:pBdr>
        <w:spacing w:after="0" w:line="240" w:lineRule="auto"/>
        <w:ind w:left="851" w:hanging="851"/>
        <w:jc w:val="both"/>
        <w:rPr>
          <w:rFonts w:ascii="Arial" w:eastAsia="Times New Roman" w:hAnsi="Arial" w:cs="Arial"/>
          <w:color w:val="000000"/>
          <w:sz w:val="24"/>
          <w:szCs w:val="24"/>
        </w:rPr>
      </w:pPr>
      <w:r w:rsidRPr="0040766B">
        <w:rPr>
          <w:rFonts w:ascii="Arial" w:eastAsia="Times New Roman" w:hAnsi="Arial" w:cs="Arial"/>
          <w:color w:val="000000"/>
          <w:sz w:val="24"/>
          <w:szCs w:val="24"/>
        </w:rPr>
        <w:t xml:space="preserve">ALTHUSSER, Louis. </w:t>
      </w:r>
      <w:r w:rsidRPr="00785179">
        <w:rPr>
          <w:rFonts w:ascii="Arial" w:eastAsia="Times New Roman" w:hAnsi="Arial" w:cs="Arial"/>
          <w:i/>
          <w:iCs/>
          <w:color w:val="000000"/>
          <w:sz w:val="24"/>
          <w:szCs w:val="24"/>
        </w:rPr>
        <w:t>Aparelhos Ideológicos do Estado</w:t>
      </w:r>
      <w:r w:rsidRPr="0040766B">
        <w:rPr>
          <w:rFonts w:ascii="Arial" w:eastAsia="Times New Roman" w:hAnsi="Arial" w:cs="Arial"/>
          <w:color w:val="000000"/>
          <w:sz w:val="24"/>
          <w:szCs w:val="24"/>
        </w:rPr>
        <w:t xml:space="preserve">. Disponível em: </w:t>
      </w:r>
      <w:hyperlink r:id="rId8">
        <w:r w:rsidRPr="0040766B">
          <w:rPr>
            <w:rFonts w:ascii="Arial" w:eastAsia="Times New Roman" w:hAnsi="Arial" w:cs="Arial"/>
            <w:color w:val="000000"/>
            <w:sz w:val="24"/>
            <w:szCs w:val="24"/>
            <w:u w:val="single"/>
          </w:rPr>
          <w:t>https://edisciplinas.usp.br/mod/resource/view.php?id=4705568&amp;forceview=1</w:t>
        </w:r>
      </w:hyperlink>
      <w:r w:rsidRPr="0040766B">
        <w:rPr>
          <w:rFonts w:ascii="Arial" w:eastAsia="Times New Roman" w:hAnsi="Arial" w:cs="Arial"/>
          <w:color w:val="000000"/>
          <w:sz w:val="24"/>
          <w:szCs w:val="24"/>
        </w:rPr>
        <w:t xml:space="preserve">. Acesso em: 16 de junho de 2024. </w:t>
      </w:r>
    </w:p>
    <w:p w14:paraId="7E27E441"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highlight w:val="white"/>
        </w:rPr>
      </w:pPr>
    </w:p>
    <w:p w14:paraId="5B6C9A0E"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BITTAR, Eduardo Carlos Bianca. ALMEIDA, Guilherme Assis de Almeida. </w:t>
      </w:r>
      <w:r w:rsidRPr="00785179">
        <w:rPr>
          <w:rFonts w:ascii="Arial" w:eastAsia="Times New Roman" w:hAnsi="Arial" w:cs="Arial"/>
          <w:i/>
          <w:iCs/>
          <w:sz w:val="24"/>
          <w:szCs w:val="24"/>
        </w:rPr>
        <w:t>Curso de filosofia do direito</w:t>
      </w:r>
      <w:r w:rsidRPr="0040766B">
        <w:rPr>
          <w:rFonts w:ascii="Arial" w:eastAsia="Times New Roman" w:hAnsi="Arial" w:cs="Arial"/>
          <w:sz w:val="24"/>
          <w:szCs w:val="24"/>
        </w:rPr>
        <w:t xml:space="preserve">. – 15. ed., rev., atual. </w:t>
      </w:r>
      <w:proofErr w:type="spellStart"/>
      <w:r w:rsidRPr="0040766B">
        <w:rPr>
          <w:rFonts w:ascii="Arial" w:eastAsia="Times New Roman" w:hAnsi="Arial" w:cs="Arial"/>
          <w:sz w:val="24"/>
          <w:szCs w:val="24"/>
        </w:rPr>
        <w:t>eampl</w:t>
      </w:r>
      <w:proofErr w:type="spellEnd"/>
      <w:r w:rsidRPr="0040766B">
        <w:rPr>
          <w:rFonts w:ascii="Arial" w:eastAsia="Times New Roman" w:hAnsi="Arial" w:cs="Arial"/>
          <w:sz w:val="24"/>
          <w:szCs w:val="24"/>
        </w:rPr>
        <w:t>. –São Paulo: Atlas, 2021.</w:t>
      </w:r>
    </w:p>
    <w:p w14:paraId="705F0272"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07EDB6D2" w14:textId="77777777" w:rsidR="00785179" w:rsidRPr="0040766B" w:rsidRDefault="00785179" w:rsidP="00785179">
      <w:pPr>
        <w:tabs>
          <w:tab w:val="left" w:pos="989"/>
        </w:tabs>
        <w:spacing w:after="0" w:line="240" w:lineRule="auto"/>
        <w:ind w:left="851" w:hanging="851"/>
        <w:jc w:val="both"/>
        <w:rPr>
          <w:rFonts w:ascii="Arial" w:eastAsia="Times New Roman" w:hAnsi="Arial" w:cs="Arial"/>
          <w:color w:val="000000"/>
          <w:sz w:val="24"/>
          <w:szCs w:val="24"/>
          <w:highlight w:val="white"/>
        </w:rPr>
      </w:pPr>
      <w:r w:rsidRPr="0040766B">
        <w:rPr>
          <w:rFonts w:ascii="Arial" w:eastAsia="Times New Roman" w:hAnsi="Arial" w:cs="Arial"/>
          <w:color w:val="000000"/>
          <w:sz w:val="24"/>
          <w:szCs w:val="24"/>
        </w:rPr>
        <w:t xml:space="preserve">BERARDI, Franco. </w:t>
      </w:r>
      <w:r w:rsidRPr="0040766B">
        <w:rPr>
          <w:rFonts w:ascii="Arial" w:eastAsia="Times New Roman" w:hAnsi="Arial" w:cs="Arial"/>
          <w:color w:val="000000"/>
          <w:sz w:val="24"/>
          <w:szCs w:val="24"/>
          <w:highlight w:val="white"/>
        </w:rPr>
        <w:t xml:space="preserve"> </w:t>
      </w:r>
      <w:proofErr w:type="spellStart"/>
      <w:r w:rsidRPr="0040766B">
        <w:rPr>
          <w:rFonts w:ascii="Arial" w:eastAsia="Times New Roman" w:hAnsi="Arial" w:cs="Arial"/>
          <w:color w:val="000000"/>
          <w:sz w:val="24"/>
          <w:szCs w:val="24"/>
          <w:highlight w:val="white"/>
        </w:rPr>
        <w:t>Fenomenología</w:t>
      </w:r>
      <w:proofErr w:type="spellEnd"/>
      <w:r w:rsidRPr="0040766B">
        <w:rPr>
          <w:rFonts w:ascii="Arial" w:eastAsia="Times New Roman" w:hAnsi="Arial" w:cs="Arial"/>
          <w:color w:val="000000"/>
          <w:sz w:val="24"/>
          <w:szCs w:val="24"/>
          <w:highlight w:val="white"/>
        </w:rPr>
        <w:t xml:space="preserve"> </w:t>
      </w:r>
      <w:proofErr w:type="spellStart"/>
      <w:r w:rsidRPr="0040766B">
        <w:rPr>
          <w:rFonts w:ascii="Arial" w:eastAsia="Times New Roman" w:hAnsi="Arial" w:cs="Arial"/>
          <w:color w:val="000000"/>
          <w:sz w:val="24"/>
          <w:szCs w:val="24"/>
          <w:highlight w:val="white"/>
        </w:rPr>
        <w:t>del</w:t>
      </w:r>
      <w:proofErr w:type="spellEnd"/>
      <w:r w:rsidRPr="0040766B">
        <w:rPr>
          <w:rFonts w:ascii="Arial" w:eastAsia="Times New Roman" w:hAnsi="Arial" w:cs="Arial"/>
          <w:color w:val="000000"/>
          <w:sz w:val="24"/>
          <w:szCs w:val="24"/>
          <w:highlight w:val="white"/>
        </w:rPr>
        <w:t xml:space="preserve"> </w:t>
      </w:r>
      <w:proofErr w:type="spellStart"/>
      <w:r w:rsidRPr="0040766B">
        <w:rPr>
          <w:rFonts w:ascii="Arial" w:eastAsia="Times New Roman" w:hAnsi="Arial" w:cs="Arial"/>
          <w:color w:val="000000"/>
          <w:sz w:val="24"/>
          <w:szCs w:val="24"/>
          <w:highlight w:val="white"/>
        </w:rPr>
        <w:t>fin</w:t>
      </w:r>
      <w:proofErr w:type="spellEnd"/>
      <w:r w:rsidRPr="0040766B">
        <w:rPr>
          <w:rFonts w:ascii="Arial" w:eastAsia="Times New Roman" w:hAnsi="Arial" w:cs="Arial"/>
          <w:color w:val="000000"/>
          <w:sz w:val="24"/>
          <w:szCs w:val="24"/>
          <w:highlight w:val="white"/>
        </w:rPr>
        <w:t xml:space="preserve">: </w:t>
      </w:r>
      <w:proofErr w:type="spellStart"/>
      <w:r w:rsidRPr="0040766B">
        <w:rPr>
          <w:rFonts w:ascii="Arial" w:eastAsia="Times New Roman" w:hAnsi="Arial" w:cs="Arial"/>
          <w:color w:val="000000"/>
          <w:sz w:val="24"/>
          <w:szCs w:val="24"/>
          <w:highlight w:val="white"/>
        </w:rPr>
        <w:t>sensibilidad</w:t>
      </w:r>
      <w:proofErr w:type="spellEnd"/>
      <w:r w:rsidRPr="0040766B">
        <w:rPr>
          <w:rFonts w:ascii="Arial" w:eastAsia="Times New Roman" w:hAnsi="Arial" w:cs="Arial"/>
          <w:color w:val="000000"/>
          <w:sz w:val="24"/>
          <w:szCs w:val="24"/>
          <w:highlight w:val="white"/>
        </w:rPr>
        <w:t xml:space="preserve"> y </w:t>
      </w:r>
      <w:proofErr w:type="spellStart"/>
      <w:r w:rsidRPr="0040766B">
        <w:rPr>
          <w:rFonts w:ascii="Arial" w:eastAsia="Times New Roman" w:hAnsi="Arial" w:cs="Arial"/>
          <w:color w:val="000000"/>
          <w:sz w:val="24"/>
          <w:szCs w:val="24"/>
          <w:highlight w:val="white"/>
        </w:rPr>
        <w:t>mutación</w:t>
      </w:r>
      <w:proofErr w:type="spellEnd"/>
      <w:r w:rsidRPr="0040766B">
        <w:rPr>
          <w:rFonts w:ascii="Arial" w:eastAsia="Times New Roman" w:hAnsi="Arial" w:cs="Arial"/>
          <w:color w:val="000000"/>
          <w:sz w:val="24"/>
          <w:szCs w:val="24"/>
          <w:highlight w:val="white"/>
        </w:rPr>
        <w:t xml:space="preserve"> conectiva - </w:t>
      </w:r>
      <w:proofErr w:type="spellStart"/>
      <w:r w:rsidRPr="0040766B">
        <w:rPr>
          <w:rFonts w:ascii="Arial" w:eastAsia="Times New Roman" w:hAnsi="Arial" w:cs="Arial"/>
          <w:color w:val="000000"/>
          <w:sz w:val="24"/>
          <w:szCs w:val="24"/>
          <w:highlight w:val="white"/>
        </w:rPr>
        <w:t>la</w:t>
      </w:r>
      <w:proofErr w:type="spellEnd"/>
      <w:r w:rsidRPr="0040766B">
        <w:rPr>
          <w:rFonts w:ascii="Arial" w:eastAsia="Times New Roman" w:hAnsi="Arial" w:cs="Arial"/>
          <w:color w:val="000000"/>
          <w:sz w:val="24"/>
          <w:szCs w:val="24"/>
          <w:highlight w:val="white"/>
        </w:rPr>
        <w:t xml:space="preserve"> ed. </w:t>
      </w:r>
      <w:proofErr w:type="spellStart"/>
      <w:r w:rsidRPr="0040766B">
        <w:rPr>
          <w:rFonts w:ascii="Arial" w:eastAsia="Times New Roman" w:hAnsi="Arial" w:cs="Arial"/>
          <w:color w:val="000000"/>
          <w:sz w:val="24"/>
          <w:szCs w:val="24"/>
          <w:highlight w:val="white"/>
        </w:rPr>
        <w:t>Ciudad</w:t>
      </w:r>
      <w:proofErr w:type="spellEnd"/>
      <w:r w:rsidRPr="0040766B">
        <w:rPr>
          <w:rFonts w:ascii="Arial" w:eastAsia="Times New Roman" w:hAnsi="Arial" w:cs="Arial"/>
          <w:color w:val="000000"/>
          <w:sz w:val="24"/>
          <w:szCs w:val="24"/>
          <w:highlight w:val="white"/>
        </w:rPr>
        <w:t xml:space="preserve"> Autónoma de Buenos Aires: Caja Negra, 2017.</w:t>
      </w:r>
    </w:p>
    <w:p w14:paraId="458B3CE1"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09AB4C1F"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BROW, Wendy. </w:t>
      </w:r>
      <w:r w:rsidRPr="00785179">
        <w:rPr>
          <w:rFonts w:ascii="Arial" w:eastAsia="Times New Roman" w:hAnsi="Arial" w:cs="Arial"/>
          <w:i/>
          <w:iCs/>
          <w:sz w:val="24"/>
          <w:szCs w:val="24"/>
        </w:rPr>
        <w:t>Nas ruínas do neoliberalismo</w:t>
      </w:r>
      <w:r w:rsidRPr="0040766B">
        <w:rPr>
          <w:rFonts w:ascii="Arial" w:eastAsia="Times New Roman" w:hAnsi="Arial" w:cs="Arial"/>
          <w:sz w:val="24"/>
          <w:szCs w:val="24"/>
        </w:rPr>
        <w:t xml:space="preserve">. Traduzido por Mario A. Marino, Eduardo </w:t>
      </w:r>
      <w:proofErr w:type="spellStart"/>
      <w:r w:rsidRPr="0040766B">
        <w:rPr>
          <w:rFonts w:ascii="Arial" w:eastAsia="Times New Roman" w:hAnsi="Arial" w:cs="Arial"/>
          <w:sz w:val="24"/>
          <w:szCs w:val="24"/>
        </w:rPr>
        <w:t>Altheman</w:t>
      </w:r>
      <w:proofErr w:type="spellEnd"/>
      <w:r w:rsidRPr="0040766B">
        <w:rPr>
          <w:rFonts w:ascii="Arial" w:eastAsia="Times New Roman" w:hAnsi="Arial" w:cs="Arial"/>
          <w:sz w:val="24"/>
          <w:szCs w:val="24"/>
        </w:rPr>
        <w:t xml:space="preserve"> C. Santos. - São Paulo: Editora Filosófica Politeia, 2019.</w:t>
      </w:r>
    </w:p>
    <w:p w14:paraId="0B940693"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48CCE98D" w14:textId="6AFB34DF" w:rsidR="00785179" w:rsidRPr="0040766B" w:rsidRDefault="00785179" w:rsidP="00785179">
      <w:pPr>
        <w:tabs>
          <w:tab w:val="left" w:pos="989"/>
        </w:tabs>
        <w:spacing w:after="0" w:line="240" w:lineRule="auto"/>
        <w:ind w:left="851" w:hanging="851"/>
        <w:jc w:val="both"/>
        <w:rPr>
          <w:rFonts w:ascii="Arial" w:eastAsia="Times New Roman" w:hAnsi="Arial" w:cs="Arial"/>
          <w:color w:val="000000"/>
          <w:sz w:val="24"/>
          <w:szCs w:val="24"/>
        </w:rPr>
      </w:pPr>
      <w:r w:rsidRPr="0040766B">
        <w:rPr>
          <w:rFonts w:ascii="Arial" w:eastAsia="Times New Roman" w:hAnsi="Arial" w:cs="Arial"/>
          <w:color w:val="000000"/>
          <w:sz w:val="24"/>
          <w:szCs w:val="24"/>
        </w:rPr>
        <w:t>C</w:t>
      </w:r>
      <w:r w:rsidRPr="0040766B">
        <w:rPr>
          <w:rFonts w:ascii="Arial" w:eastAsia="Times New Roman" w:hAnsi="Arial" w:cs="Arial"/>
          <w:color w:val="000000"/>
          <w:sz w:val="24"/>
          <w:szCs w:val="24"/>
          <w:highlight w:val="white"/>
        </w:rPr>
        <w:t xml:space="preserve">ALDAS, Camilo Onoda. </w:t>
      </w:r>
      <w:proofErr w:type="spellStart"/>
      <w:r w:rsidRPr="00785179">
        <w:rPr>
          <w:rFonts w:ascii="Arial" w:eastAsia="Times New Roman" w:hAnsi="Arial" w:cs="Arial"/>
          <w:i/>
          <w:iCs/>
          <w:color w:val="000000"/>
          <w:sz w:val="24"/>
          <w:szCs w:val="24"/>
          <w:highlight w:val="white"/>
        </w:rPr>
        <w:t>Pachukanis</w:t>
      </w:r>
      <w:proofErr w:type="spellEnd"/>
      <w:r w:rsidRPr="0040766B">
        <w:rPr>
          <w:rFonts w:ascii="Arial" w:eastAsia="Times New Roman" w:hAnsi="Arial" w:cs="Arial"/>
          <w:b/>
          <w:bCs/>
          <w:color w:val="000000"/>
          <w:sz w:val="24"/>
          <w:szCs w:val="24"/>
          <w:highlight w:val="white"/>
        </w:rPr>
        <w:t>.</w:t>
      </w:r>
      <w:r w:rsidRPr="0040766B">
        <w:rPr>
          <w:rFonts w:ascii="Arial" w:eastAsia="Times New Roman" w:hAnsi="Arial" w:cs="Arial"/>
          <w:color w:val="000000"/>
          <w:sz w:val="24"/>
          <w:szCs w:val="24"/>
          <w:highlight w:val="white"/>
        </w:rPr>
        <w:t xml:space="preserve"> Enciclopédia jurídica da PUC-SP. Celso Fernandes Campilongo, </w:t>
      </w:r>
      <w:proofErr w:type="spellStart"/>
      <w:r w:rsidRPr="0040766B">
        <w:rPr>
          <w:rFonts w:ascii="Arial" w:eastAsia="Times New Roman" w:hAnsi="Arial" w:cs="Arial"/>
          <w:color w:val="000000"/>
          <w:sz w:val="24"/>
          <w:szCs w:val="24"/>
          <w:highlight w:val="white"/>
        </w:rPr>
        <w:t>Alvaro</w:t>
      </w:r>
      <w:proofErr w:type="spellEnd"/>
      <w:r w:rsidRPr="0040766B">
        <w:rPr>
          <w:rFonts w:ascii="Arial" w:eastAsia="Times New Roman" w:hAnsi="Arial" w:cs="Arial"/>
          <w:color w:val="000000"/>
          <w:sz w:val="24"/>
          <w:szCs w:val="24"/>
          <w:highlight w:val="white"/>
        </w:rPr>
        <w:t xml:space="preserve"> de Azevedo Gonzaga e André Luiz Freire (</w:t>
      </w:r>
      <w:proofErr w:type="spellStart"/>
      <w:r w:rsidRPr="0040766B">
        <w:rPr>
          <w:rFonts w:ascii="Arial" w:eastAsia="Times New Roman" w:hAnsi="Arial" w:cs="Arial"/>
          <w:color w:val="000000"/>
          <w:sz w:val="24"/>
          <w:szCs w:val="24"/>
          <w:highlight w:val="white"/>
        </w:rPr>
        <w:t>coords</w:t>
      </w:r>
      <w:proofErr w:type="spellEnd"/>
      <w:r w:rsidRPr="0040766B">
        <w:rPr>
          <w:rFonts w:ascii="Arial" w:eastAsia="Times New Roman" w:hAnsi="Arial" w:cs="Arial"/>
          <w:color w:val="000000"/>
          <w:sz w:val="24"/>
          <w:szCs w:val="24"/>
          <w:highlight w:val="white"/>
        </w:rPr>
        <w:t xml:space="preserve">.). Tomo: </w:t>
      </w:r>
      <w:r w:rsidRPr="00785179">
        <w:rPr>
          <w:rFonts w:ascii="Arial" w:eastAsia="Times New Roman" w:hAnsi="Arial" w:cs="Arial"/>
          <w:i/>
          <w:iCs/>
          <w:color w:val="000000"/>
          <w:sz w:val="24"/>
          <w:szCs w:val="24"/>
          <w:highlight w:val="white"/>
        </w:rPr>
        <w:t>Teoria Geral e Filosofia do Direito</w:t>
      </w:r>
      <w:r w:rsidRPr="0040766B">
        <w:rPr>
          <w:rFonts w:ascii="Arial" w:eastAsia="Times New Roman" w:hAnsi="Arial" w:cs="Arial"/>
          <w:color w:val="000000"/>
          <w:sz w:val="24"/>
          <w:szCs w:val="24"/>
          <w:highlight w:val="white"/>
        </w:rPr>
        <w:t xml:space="preserve">. Celso Fernandes Campilongo, </w:t>
      </w:r>
      <w:proofErr w:type="spellStart"/>
      <w:r w:rsidRPr="0040766B">
        <w:rPr>
          <w:rFonts w:ascii="Arial" w:eastAsia="Times New Roman" w:hAnsi="Arial" w:cs="Arial"/>
          <w:color w:val="000000"/>
          <w:sz w:val="24"/>
          <w:szCs w:val="24"/>
          <w:highlight w:val="white"/>
        </w:rPr>
        <w:t>Alvaro</w:t>
      </w:r>
      <w:proofErr w:type="spellEnd"/>
      <w:r w:rsidRPr="0040766B">
        <w:rPr>
          <w:rFonts w:ascii="Arial" w:eastAsia="Times New Roman" w:hAnsi="Arial" w:cs="Arial"/>
          <w:color w:val="000000"/>
          <w:sz w:val="24"/>
          <w:szCs w:val="24"/>
          <w:highlight w:val="white"/>
        </w:rPr>
        <w:t xml:space="preserve"> de Azevedo Gonzaga, André Luiz Freire (coord. de tomo). 1. ed. São Paulo: Pontifícia Universidade Católica de São Paulo, 2017. Disponível em: </w:t>
      </w:r>
      <w:r w:rsidRPr="00785179">
        <w:rPr>
          <w:rFonts w:ascii="Arial" w:eastAsia="Times New Roman" w:hAnsi="Arial" w:cs="Arial"/>
          <w:color w:val="000000"/>
          <w:sz w:val="24"/>
          <w:szCs w:val="24"/>
          <w:highlight w:val="white"/>
        </w:rPr>
        <w:t>https://enciclopediajuridica.pucsp.br/verbete/129/edicao-1/pachukanis</w:t>
      </w:r>
      <w:r w:rsidRPr="0040766B">
        <w:rPr>
          <w:rFonts w:ascii="Arial" w:eastAsia="Times New Roman" w:hAnsi="Arial" w:cs="Arial"/>
          <w:color w:val="000000"/>
          <w:sz w:val="24"/>
          <w:szCs w:val="24"/>
        </w:rPr>
        <w:t>. Acesso em: 15 de junho de 2024.</w:t>
      </w:r>
    </w:p>
    <w:p w14:paraId="7828B03E" w14:textId="77777777" w:rsidR="00785179" w:rsidRPr="0040766B" w:rsidRDefault="00785179" w:rsidP="00785179">
      <w:pPr>
        <w:tabs>
          <w:tab w:val="left" w:pos="989"/>
        </w:tabs>
        <w:spacing w:after="0" w:line="240" w:lineRule="auto"/>
        <w:ind w:left="851" w:hanging="851"/>
        <w:jc w:val="both"/>
        <w:rPr>
          <w:rFonts w:ascii="Arial" w:eastAsia="Times New Roman" w:hAnsi="Arial" w:cs="Arial"/>
          <w:color w:val="000000"/>
          <w:sz w:val="24"/>
          <w:szCs w:val="24"/>
        </w:rPr>
      </w:pPr>
    </w:p>
    <w:p w14:paraId="4BFE3B8D"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lastRenderedPageBreak/>
        <w:t xml:space="preserve">CLASTRES, Pierre. </w:t>
      </w:r>
      <w:r w:rsidRPr="00785179">
        <w:rPr>
          <w:rFonts w:ascii="Arial" w:eastAsia="Times New Roman" w:hAnsi="Arial" w:cs="Arial"/>
          <w:i/>
          <w:iCs/>
          <w:sz w:val="24"/>
          <w:szCs w:val="24"/>
        </w:rPr>
        <w:t>A Sociedade contra o Estado: pesquisa de antropologia política.</w:t>
      </w:r>
      <w:r w:rsidRPr="0040766B">
        <w:rPr>
          <w:rFonts w:ascii="Arial" w:eastAsia="Times New Roman" w:hAnsi="Arial" w:cs="Arial"/>
          <w:sz w:val="24"/>
          <w:szCs w:val="24"/>
        </w:rPr>
        <w:t xml:space="preserve"> Tradução de Theo Santiago. Rio de Janeiro, F. Alves, 1978.</w:t>
      </w:r>
    </w:p>
    <w:p w14:paraId="733F61F7"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619E4773"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CHIGNOLA, Sandro. </w:t>
      </w:r>
      <w:r w:rsidRPr="0040766B">
        <w:rPr>
          <w:rFonts w:ascii="Arial" w:eastAsia="Times New Roman" w:hAnsi="Arial" w:cs="Arial"/>
          <w:color w:val="000000"/>
          <w:sz w:val="24"/>
          <w:szCs w:val="24"/>
        </w:rPr>
        <w:t>“</w:t>
      </w:r>
      <w:r w:rsidRPr="00785179">
        <w:rPr>
          <w:rFonts w:ascii="Arial" w:eastAsia="Times New Roman" w:hAnsi="Arial" w:cs="Arial"/>
          <w:i/>
          <w:iCs/>
          <w:color w:val="000000"/>
          <w:sz w:val="24"/>
          <w:szCs w:val="24"/>
        </w:rPr>
        <w:t>A Toupeira e a Serpente”. In: Foucault para além de Foucault.</w:t>
      </w:r>
      <w:r w:rsidRPr="0040766B">
        <w:rPr>
          <w:rFonts w:ascii="Arial" w:eastAsia="Times New Roman" w:hAnsi="Arial" w:cs="Arial"/>
          <w:color w:val="000000"/>
          <w:sz w:val="24"/>
          <w:szCs w:val="24"/>
        </w:rPr>
        <w:t xml:space="preserve"> Tradução de Augusto Jobim do Amaral et al.. Porto Alegre: Criação Humana,</w:t>
      </w:r>
      <w:r w:rsidRPr="0040766B">
        <w:rPr>
          <w:rFonts w:ascii="Arial" w:eastAsia="Times New Roman" w:hAnsi="Arial" w:cs="Arial"/>
          <w:b/>
          <w:bCs/>
          <w:color w:val="000000"/>
          <w:sz w:val="24"/>
          <w:szCs w:val="24"/>
        </w:rPr>
        <w:t xml:space="preserve"> </w:t>
      </w:r>
      <w:r w:rsidRPr="00785179">
        <w:rPr>
          <w:rFonts w:ascii="Arial" w:eastAsia="Times New Roman" w:hAnsi="Arial" w:cs="Arial"/>
          <w:color w:val="000000"/>
          <w:sz w:val="24"/>
          <w:szCs w:val="24"/>
        </w:rPr>
        <w:t>2020</w:t>
      </w:r>
      <w:r w:rsidRPr="0040766B">
        <w:rPr>
          <w:rFonts w:ascii="Arial" w:eastAsia="Times New Roman" w:hAnsi="Arial" w:cs="Arial"/>
          <w:color w:val="000000"/>
          <w:sz w:val="24"/>
          <w:szCs w:val="24"/>
        </w:rPr>
        <w:t xml:space="preserve"> p. 216-240</w:t>
      </w:r>
      <w:r w:rsidRPr="0040766B">
        <w:rPr>
          <w:rFonts w:ascii="Arial" w:eastAsia="Times New Roman" w:hAnsi="Arial" w:cs="Arial"/>
          <w:b/>
          <w:bCs/>
          <w:color w:val="000000"/>
          <w:sz w:val="24"/>
          <w:szCs w:val="24"/>
        </w:rPr>
        <w:t>.</w:t>
      </w:r>
    </w:p>
    <w:p w14:paraId="1027F766"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684AB7C1"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DARDOT, Pierre. </w:t>
      </w:r>
      <w:r w:rsidRPr="00785179">
        <w:rPr>
          <w:rFonts w:ascii="Arial" w:eastAsia="Times New Roman" w:hAnsi="Arial" w:cs="Arial"/>
          <w:i/>
          <w:iCs/>
          <w:sz w:val="24"/>
          <w:szCs w:val="24"/>
        </w:rPr>
        <w:t>A nova razão do mundo: ensaio sobre a sociedade neoliberal</w:t>
      </w:r>
      <w:r w:rsidRPr="0040766B">
        <w:rPr>
          <w:rFonts w:ascii="Arial" w:eastAsia="Times New Roman" w:hAnsi="Arial" w:cs="Arial"/>
          <w:sz w:val="24"/>
          <w:szCs w:val="24"/>
        </w:rPr>
        <w:t xml:space="preserve">. Tradução Mariana </w:t>
      </w:r>
      <w:proofErr w:type="spellStart"/>
      <w:r w:rsidRPr="0040766B">
        <w:rPr>
          <w:rFonts w:ascii="Arial" w:eastAsia="Times New Roman" w:hAnsi="Arial" w:cs="Arial"/>
          <w:sz w:val="24"/>
          <w:szCs w:val="24"/>
        </w:rPr>
        <w:t>Echalar</w:t>
      </w:r>
      <w:proofErr w:type="spellEnd"/>
      <w:r w:rsidRPr="0040766B">
        <w:rPr>
          <w:rFonts w:ascii="Arial" w:eastAsia="Times New Roman" w:hAnsi="Arial" w:cs="Arial"/>
          <w:sz w:val="24"/>
          <w:szCs w:val="24"/>
        </w:rPr>
        <w:t>. São Paulo: 1.ª edição. Editora Boitempo, 2016.</w:t>
      </w:r>
    </w:p>
    <w:p w14:paraId="15784DB1"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43494C54"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DELEUZE, Gilles. </w:t>
      </w:r>
      <w:r w:rsidRPr="00785179">
        <w:rPr>
          <w:rFonts w:ascii="Arial" w:eastAsia="Times New Roman" w:hAnsi="Arial" w:cs="Arial"/>
          <w:i/>
          <w:iCs/>
          <w:sz w:val="24"/>
          <w:szCs w:val="24"/>
        </w:rPr>
        <w:t>Conversaçõe</w:t>
      </w:r>
      <w:r w:rsidRPr="0040766B">
        <w:rPr>
          <w:rFonts w:ascii="Arial" w:eastAsia="Times New Roman" w:hAnsi="Arial" w:cs="Arial"/>
          <w:sz w:val="24"/>
          <w:szCs w:val="24"/>
        </w:rPr>
        <w:t xml:space="preserve">s (1972-1990). Tradução de Peter </w:t>
      </w:r>
      <w:proofErr w:type="spellStart"/>
      <w:r w:rsidRPr="0040766B">
        <w:rPr>
          <w:rFonts w:ascii="Arial" w:eastAsia="Times New Roman" w:hAnsi="Arial" w:cs="Arial"/>
          <w:sz w:val="24"/>
          <w:szCs w:val="24"/>
        </w:rPr>
        <w:t>Pal</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Pelhart</w:t>
      </w:r>
      <w:proofErr w:type="spellEnd"/>
      <w:r w:rsidRPr="0040766B">
        <w:rPr>
          <w:rFonts w:ascii="Arial" w:eastAsia="Times New Roman" w:hAnsi="Arial" w:cs="Arial"/>
          <w:sz w:val="24"/>
          <w:szCs w:val="24"/>
        </w:rPr>
        <w:t xml:space="preserve"> – Rio de Janeiro: Ed.34, 1992.</w:t>
      </w:r>
    </w:p>
    <w:p w14:paraId="6E0201DD"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5E0E62D6" w14:textId="77777777" w:rsidR="00785179" w:rsidRPr="0040766B" w:rsidRDefault="00785179" w:rsidP="00785179">
      <w:pPr>
        <w:tabs>
          <w:tab w:val="left" w:pos="989"/>
        </w:tabs>
        <w:spacing w:after="0" w:line="240" w:lineRule="auto"/>
        <w:ind w:left="851" w:hanging="851"/>
        <w:jc w:val="both"/>
        <w:rPr>
          <w:rFonts w:ascii="Arial" w:eastAsia="Times New Roman" w:hAnsi="Arial" w:cs="Arial"/>
          <w:color w:val="000000"/>
          <w:sz w:val="24"/>
          <w:szCs w:val="24"/>
        </w:rPr>
      </w:pPr>
      <w:r w:rsidRPr="0040766B">
        <w:rPr>
          <w:rFonts w:ascii="Arial" w:eastAsia="Times New Roman" w:hAnsi="Arial" w:cs="Arial"/>
          <w:color w:val="000000"/>
          <w:sz w:val="24"/>
          <w:szCs w:val="24"/>
        </w:rPr>
        <w:t xml:space="preserve">DREYFUS, Hubert; RABINOW, Paul. </w:t>
      </w:r>
      <w:r w:rsidRPr="00785179">
        <w:rPr>
          <w:rFonts w:ascii="Arial" w:eastAsia="Times New Roman" w:hAnsi="Arial" w:cs="Arial"/>
          <w:i/>
          <w:iCs/>
          <w:color w:val="000000"/>
          <w:sz w:val="24"/>
          <w:szCs w:val="24"/>
        </w:rPr>
        <w:t>Michel Foucault: uma trajetória filosófica para além do estruturalismo e da hermenêutica</w:t>
      </w:r>
      <w:r w:rsidRPr="0040766B">
        <w:rPr>
          <w:rFonts w:ascii="Arial" w:eastAsia="Times New Roman" w:hAnsi="Arial" w:cs="Arial"/>
          <w:b/>
          <w:bCs/>
          <w:color w:val="000000"/>
          <w:sz w:val="24"/>
          <w:szCs w:val="24"/>
        </w:rPr>
        <w:t xml:space="preserve">. </w:t>
      </w:r>
      <w:r w:rsidRPr="0040766B">
        <w:rPr>
          <w:rFonts w:ascii="Arial" w:eastAsia="Times New Roman" w:hAnsi="Arial" w:cs="Arial"/>
          <w:color w:val="000000"/>
          <w:sz w:val="24"/>
          <w:szCs w:val="24"/>
        </w:rPr>
        <w:t>Trad. Vera Porto Carrero. Rio de Janeiro: Forense Universitária, 1995.</w:t>
      </w:r>
    </w:p>
    <w:p w14:paraId="68F286C7"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3B2974BB"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EMPOLI, Giuliano</w:t>
      </w:r>
      <w:r w:rsidRPr="0040766B">
        <w:rPr>
          <w:rFonts w:ascii="Arial" w:eastAsia="Times New Roman" w:hAnsi="Arial" w:cs="Arial"/>
          <w:b/>
          <w:bCs/>
          <w:sz w:val="24"/>
          <w:szCs w:val="24"/>
        </w:rPr>
        <w:t xml:space="preserve">. </w:t>
      </w:r>
      <w:r w:rsidRPr="00785179">
        <w:rPr>
          <w:rFonts w:ascii="Arial" w:eastAsia="Times New Roman" w:hAnsi="Arial" w:cs="Arial"/>
          <w:i/>
          <w:iCs/>
          <w:sz w:val="24"/>
          <w:szCs w:val="24"/>
        </w:rPr>
        <w:t>Os Engenheiros do Caos</w:t>
      </w:r>
      <w:r w:rsidRPr="0040766B">
        <w:rPr>
          <w:rFonts w:ascii="Arial" w:eastAsia="Times New Roman" w:hAnsi="Arial" w:cs="Arial"/>
          <w:sz w:val="24"/>
          <w:szCs w:val="24"/>
        </w:rPr>
        <w:t>. Tradução Arnaldo Bloch. 1. ed. São Paulo: Vestígio, 2019.</w:t>
      </w:r>
    </w:p>
    <w:p w14:paraId="40700E1D"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25DA42C2"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GUTING, Gary. </w:t>
      </w:r>
      <w:r w:rsidRPr="00785179">
        <w:rPr>
          <w:rFonts w:ascii="Arial" w:eastAsia="Times New Roman" w:hAnsi="Arial" w:cs="Arial"/>
          <w:i/>
          <w:iCs/>
          <w:sz w:val="24"/>
          <w:szCs w:val="24"/>
        </w:rPr>
        <w:t>Foucault: Uma brevíssima introdução</w:t>
      </w:r>
      <w:r w:rsidRPr="0040766B">
        <w:rPr>
          <w:rFonts w:ascii="Arial" w:eastAsia="Times New Roman" w:hAnsi="Arial" w:cs="Arial"/>
          <w:sz w:val="24"/>
          <w:szCs w:val="24"/>
        </w:rPr>
        <w:t>. Tradução: Fernando Santos. São Paulo: Editora Unesp, 2021.</w:t>
      </w:r>
    </w:p>
    <w:p w14:paraId="413FC63F"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46A53A73"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color w:val="000000"/>
          <w:sz w:val="24"/>
          <w:szCs w:val="24"/>
        </w:rPr>
        <w:t xml:space="preserve">HOBBES, Thomas. </w:t>
      </w:r>
      <w:r w:rsidRPr="00785179">
        <w:rPr>
          <w:rFonts w:ascii="Arial" w:eastAsia="Times New Roman" w:hAnsi="Arial" w:cs="Arial"/>
          <w:i/>
          <w:iCs/>
          <w:color w:val="000000"/>
          <w:sz w:val="24"/>
          <w:szCs w:val="24"/>
        </w:rPr>
        <w:t>O Leviatã.</w:t>
      </w:r>
      <w:r w:rsidRPr="00785179">
        <w:rPr>
          <w:rFonts w:ascii="Arial" w:eastAsia="Times New Roman" w:hAnsi="Arial" w:cs="Arial"/>
          <w:i/>
          <w:iCs/>
          <w:sz w:val="24"/>
          <w:szCs w:val="24"/>
        </w:rPr>
        <w:t xml:space="preserve">  Matéria, Forma e Poder de um Estado Eclesiástico e Civil</w:t>
      </w:r>
      <w:r w:rsidRPr="0040766B">
        <w:rPr>
          <w:rFonts w:ascii="Arial" w:eastAsia="Times New Roman" w:hAnsi="Arial" w:cs="Arial"/>
          <w:color w:val="000000"/>
          <w:sz w:val="24"/>
          <w:szCs w:val="24"/>
        </w:rPr>
        <w:t>.</w:t>
      </w:r>
      <w:r w:rsidRPr="0040766B">
        <w:rPr>
          <w:rFonts w:ascii="Arial" w:eastAsia="Times New Roman" w:hAnsi="Arial" w:cs="Arial"/>
          <w:sz w:val="24"/>
          <w:szCs w:val="24"/>
        </w:rPr>
        <w:t xml:space="preserve"> Tradução de João Paulo Monteiro e Maria Beatriz </w:t>
      </w:r>
      <w:proofErr w:type="spellStart"/>
      <w:r w:rsidRPr="0040766B">
        <w:rPr>
          <w:rFonts w:ascii="Arial" w:eastAsia="Times New Roman" w:hAnsi="Arial" w:cs="Arial"/>
          <w:sz w:val="24"/>
          <w:szCs w:val="24"/>
        </w:rPr>
        <w:t>Nizza</w:t>
      </w:r>
      <w:proofErr w:type="spellEnd"/>
      <w:r w:rsidRPr="0040766B">
        <w:rPr>
          <w:rFonts w:ascii="Arial" w:eastAsia="Times New Roman" w:hAnsi="Arial" w:cs="Arial"/>
          <w:sz w:val="24"/>
          <w:szCs w:val="24"/>
        </w:rPr>
        <w:t xml:space="preserve"> da Silva</w:t>
      </w:r>
      <w:r w:rsidRPr="0040766B">
        <w:rPr>
          <w:rFonts w:ascii="Arial" w:eastAsia="Times New Roman" w:hAnsi="Arial" w:cs="Arial"/>
          <w:color w:val="000000"/>
          <w:sz w:val="24"/>
          <w:szCs w:val="24"/>
        </w:rPr>
        <w:t xml:space="preserve"> Disponível em </w:t>
      </w:r>
      <w:hyperlink r:id="rId9">
        <w:r w:rsidRPr="0040766B">
          <w:rPr>
            <w:rFonts w:ascii="Arial" w:eastAsia="Times New Roman" w:hAnsi="Arial" w:cs="Arial"/>
            <w:color w:val="000000"/>
            <w:sz w:val="24"/>
            <w:szCs w:val="24"/>
            <w:u w:val="single"/>
          </w:rPr>
          <w:t>https://www.dhnet.org.br/direitos/anthist/marcos/hdh_thomas_hobbes_leviatan.pdf</w:t>
        </w:r>
      </w:hyperlink>
      <w:r w:rsidRPr="0040766B">
        <w:rPr>
          <w:rFonts w:ascii="Arial" w:eastAsia="Times New Roman" w:hAnsi="Arial" w:cs="Arial"/>
          <w:color w:val="000000"/>
          <w:sz w:val="24"/>
          <w:szCs w:val="24"/>
        </w:rPr>
        <w:t>. Acesso em: 15 de junho de 2024.</w:t>
      </w:r>
    </w:p>
    <w:p w14:paraId="4BC02644"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2588EC66"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MARX, Karl. </w:t>
      </w:r>
      <w:r w:rsidRPr="00785179">
        <w:rPr>
          <w:rFonts w:ascii="Arial" w:eastAsia="Times New Roman" w:hAnsi="Arial" w:cs="Arial"/>
          <w:i/>
          <w:iCs/>
          <w:sz w:val="24"/>
          <w:szCs w:val="24"/>
        </w:rPr>
        <w:t xml:space="preserve">Le Capital. Critique de l’ </w:t>
      </w:r>
      <w:proofErr w:type="spellStart"/>
      <w:r w:rsidRPr="00785179">
        <w:rPr>
          <w:rFonts w:ascii="Arial" w:eastAsia="Times New Roman" w:hAnsi="Arial" w:cs="Arial"/>
          <w:i/>
          <w:iCs/>
          <w:sz w:val="24"/>
          <w:szCs w:val="24"/>
        </w:rPr>
        <w:t>Economie</w:t>
      </w:r>
      <w:proofErr w:type="spellEnd"/>
      <w:r w:rsidRPr="00785179">
        <w:rPr>
          <w:rFonts w:ascii="Arial" w:eastAsia="Times New Roman" w:hAnsi="Arial" w:cs="Arial"/>
          <w:i/>
          <w:iCs/>
          <w:sz w:val="24"/>
          <w:szCs w:val="24"/>
        </w:rPr>
        <w:t xml:space="preserve"> Politique</w:t>
      </w:r>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Traduction</w:t>
      </w:r>
      <w:proofErr w:type="spellEnd"/>
      <w:r w:rsidRPr="0040766B">
        <w:rPr>
          <w:rFonts w:ascii="Arial" w:eastAsia="Times New Roman" w:hAnsi="Arial" w:cs="Arial"/>
          <w:sz w:val="24"/>
          <w:szCs w:val="24"/>
        </w:rPr>
        <w:t xml:space="preserve"> de M,: Erna </w:t>
      </w:r>
      <w:proofErr w:type="spellStart"/>
      <w:r w:rsidRPr="0040766B">
        <w:rPr>
          <w:rFonts w:ascii="Arial" w:eastAsia="Times New Roman" w:hAnsi="Arial" w:cs="Arial"/>
          <w:sz w:val="24"/>
          <w:szCs w:val="24"/>
        </w:rPr>
        <w:t>Cogniot</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pour</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les</w:t>
      </w:r>
      <w:proofErr w:type="spellEnd"/>
      <w:r w:rsidRPr="0040766B">
        <w:rPr>
          <w:rFonts w:ascii="Arial" w:eastAsia="Times New Roman" w:hAnsi="Arial" w:cs="Arial"/>
          <w:sz w:val="24"/>
          <w:szCs w:val="24"/>
        </w:rPr>
        <w:t xml:space="preserve"> première et </w:t>
      </w:r>
      <w:proofErr w:type="spellStart"/>
      <w:r w:rsidRPr="0040766B">
        <w:rPr>
          <w:rFonts w:ascii="Arial" w:eastAsia="Times New Roman" w:hAnsi="Arial" w:cs="Arial"/>
          <w:sz w:val="24"/>
          <w:szCs w:val="24"/>
        </w:rPr>
        <w:t>deuxièm</w:t>
      </w:r>
      <w:proofErr w:type="spellEnd"/>
      <w:r w:rsidRPr="0040766B">
        <w:rPr>
          <w:rFonts w:ascii="Arial" w:eastAsia="Times New Roman" w:hAnsi="Arial" w:cs="Arial"/>
          <w:sz w:val="24"/>
          <w:szCs w:val="24"/>
        </w:rPr>
        <w:t xml:space="preserve"> e </w:t>
      </w:r>
      <w:proofErr w:type="spellStart"/>
      <w:r w:rsidRPr="0040766B">
        <w:rPr>
          <w:rFonts w:ascii="Arial" w:eastAsia="Times New Roman" w:hAnsi="Arial" w:cs="Arial"/>
          <w:sz w:val="24"/>
          <w:szCs w:val="24"/>
        </w:rPr>
        <w:t>sections</w:t>
      </w:r>
      <w:proofErr w:type="spellEnd"/>
      <w:r w:rsidRPr="0040766B">
        <w:rPr>
          <w:rFonts w:ascii="Arial" w:eastAsia="Times New Roman" w:hAnsi="Arial" w:cs="Arial"/>
          <w:sz w:val="24"/>
          <w:szCs w:val="24"/>
        </w:rPr>
        <w:t xml:space="preserve">, de </w:t>
      </w:r>
      <w:proofErr w:type="spellStart"/>
      <w:r w:rsidRPr="0040766B">
        <w:rPr>
          <w:rFonts w:ascii="Arial" w:eastAsia="Times New Roman" w:hAnsi="Arial" w:cs="Arial"/>
          <w:sz w:val="24"/>
          <w:szCs w:val="24"/>
        </w:rPr>
        <w:t>Mrae</w:t>
      </w:r>
      <w:proofErr w:type="spellEnd"/>
      <w:r w:rsidRPr="0040766B">
        <w:rPr>
          <w:rFonts w:ascii="Arial" w:eastAsia="Times New Roman" w:hAnsi="Arial" w:cs="Arial"/>
          <w:sz w:val="24"/>
          <w:szCs w:val="24"/>
        </w:rPr>
        <w:t xml:space="preserve"> Cohen-</w:t>
      </w:r>
      <w:proofErr w:type="spellStart"/>
      <w:r w:rsidRPr="0040766B">
        <w:rPr>
          <w:rFonts w:ascii="Arial" w:eastAsia="Times New Roman" w:hAnsi="Arial" w:cs="Arial"/>
          <w:sz w:val="24"/>
          <w:szCs w:val="24"/>
        </w:rPr>
        <w:t>Solal</w:t>
      </w:r>
      <w:proofErr w:type="spellEnd"/>
      <w:r w:rsidRPr="0040766B">
        <w:rPr>
          <w:rFonts w:ascii="Arial" w:eastAsia="Times New Roman" w:hAnsi="Arial" w:cs="Arial"/>
          <w:sz w:val="24"/>
          <w:szCs w:val="24"/>
        </w:rPr>
        <w:t xml:space="preserve"> et de M. Gilbert Badia </w:t>
      </w:r>
      <w:proofErr w:type="spellStart"/>
      <w:r w:rsidRPr="0040766B">
        <w:rPr>
          <w:rFonts w:ascii="Arial" w:eastAsia="Times New Roman" w:hAnsi="Arial" w:cs="Arial"/>
          <w:sz w:val="24"/>
          <w:szCs w:val="24"/>
        </w:rPr>
        <w:t>pour</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la</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troisièm</w:t>
      </w:r>
      <w:proofErr w:type="spellEnd"/>
      <w:r w:rsidRPr="0040766B">
        <w:rPr>
          <w:rFonts w:ascii="Arial" w:eastAsia="Times New Roman" w:hAnsi="Arial" w:cs="Arial"/>
          <w:sz w:val="24"/>
          <w:szCs w:val="24"/>
        </w:rPr>
        <w:t xml:space="preserve"> e </w:t>
      </w:r>
      <w:proofErr w:type="spellStart"/>
      <w:r w:rsidRPr="0040766B">
        <w:rPr>
          <w:rFonts w:ascii="Arial" w:eastAsia="Times New Roman" w:hAnsi="Arial" w:cs="Arial"/>
          <w:sz w:val="24"/>
          <w:szCs w:val="24"/>
        </w:rPr>
        <w:t>section</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Editons</w:t>
      </w:r>
      <w:proofErr w:type="spellEnd"/>
      <w:r w:rsidRPr="0040766B">
        <w:rPr>
          <w:rFonts w:ascii="Arial" w:eastAsia="Times New Roman" w:hAnsi="Arial" w:cs="Arial"/>
          <w:sz w:val="24"/>
          <w:szCs w:val="24"/>
        </w:rPr>
        <w:t xml:space="preserve"> Sociales 146, rue </w:t>
      </w:r>
      <w:proofErr w:type="spellStart"/>
      <w:r w:rsidRPr="0040766B">
        <w:rPr>
          <w:rFonts w:ascii="Arial" w:eastAsia="Times New Roman" w:hAnsi="Arial" w:cs="Arial"/>
          <w:sz w:val="24"/>
          <w:szCs w:val="24"/>
        </w:rPr>
        <w:t>du</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Faubourg-Poissonnière</w:t>
      </w:r>
      <w:proofErr w:type="spellEnd"/>
      <w:r w:rsidRPr="0040766B">
        <w:rPr>
          <w:rFonts w:ascii="Arial" w:eastAsia="Times New Roman" w:hAnsi="Arial" w:cs="Arial"/>
          <w:sz w:val="24"/>
          <w:szCs w:val="24"/>
        </w:rPr>
        <w:t>, 75010 Paris Service de vente: 24, rue Racine, 75006 Paris, 1977.</w:t>
      </w:r>
    </w:p>
    <w:p w14:paraId="10E1DBE6"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43BDCE09"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____. </w:t>
      </w:r>
      <w:r w:rsidRPr="00785179">
        <w:rPr>
          <w:rFonts w:ascii="Arial" w:eastAsia="Times New Roman" w:hAnsi="Arial" w:cs="Arial"/>
          <w:i/>
          <w:iCs/>
          <w:sz w:val="24"/>
          <w:szCs w:val="24"/>
        </w:rPr>
        <w:t>Contribuição à crítica da economia política</w:t>
      </w:r>
      <w:r w:rsidRPr="0040766B">
        <w:rPr>
          <w:rFonts w:ascii="Arial" w:eastAsia="Times New Roman" w:hAnsi="Arial" w:cs="Arial"/>
          <w:sz w:val="24"/>
          <w:szCs w:val="24"/>
        </w:rPr>
        <w:t xml:space="preserve">. Tradução e introdução de Florestan Fernandes. 2 . </w:t>
      </w:r>
      <w:proofErr w:type="spellStart"/>
      <w:r w:rsidRPr="0040766B">
        <w:rPr>
          <w:rFonts w:ascii="Arial" w:eastAsia="Times New Roman" w:hAnsi="Arial" w:cs="Arial"/>
          <w:sz w:val="24"/>
          <w:szCs w:val="24"/>
        </w:rPr>
        <w:t>ed</w:t>
      </w:r>
      <w:proofErr w:type="spellEnd"/>
      <w:r w:rsidRPr="0040766B">
        <w:rPr>
          <w:rFonts w:ascii="Arial" w:eastAsia="Times New Roman" w:hAnsi="Arial" w:cs="Arial"/>
          <w:sz w:val="24"/>
          <w:szCs w:val="24"/>
        </w:rPr>
        <w:t xml:space="preserve"> . – São Paulo: Expressão Popular, 2008.</w:t>
      </w:r>
    </w:p>
    <w:p w14:paraId="6396140C"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0F8BF5F7"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MARX, Karl. ENGLES, Friedrich. </w:t>
      </w:r>
      <w:r w:rsidRPr="00785179">
        <w:rPr>
          <w:rFonts w:ascii="Arial" w:eastAsia="Times New Roman" w:hAnsi="Arial" w:cs="Arial"/>
          <w:i/>
          <w:iCs/>
          <w:sz w:val="24"/>
          <w:szCs w:val="24"/>
        </w:rPr>
        <w:t>Manifesto do Partido Comunista</w:t>
      </w:r>
      <w:r w:rsidRPr="0040766B">
        <w:rPr>
          <w:rFonts w:ascii="Arial" w:eastAsia="Times New Roman" w:hAnsi="Arial" w:cs="Arial"/>
          <w:sz w:val="24"/>
          <w:szCs w:val="24"/>
        </w:rPr>
        <w:t>. 1. Ed. São Paulo: Expressão Popular, 2008.</w:t>
      </w:r>
    </w:p>
    <w:p w14:paraId="0767C3E6"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32D306C1" w14:textId="77777777" w:rsidR="00785179" w:rsidRPr="0040766B" w:rsidRDefault="00785179" w:rsidP="00785179">
      <w:pPr>
        <w:pBdr>
          <w:top w:val="nil"/>
          <w:left w:val="nil"/>
          <w:bottom w:val="nil"/>
          <w:right w:val="nil"/>
          <w:between w:val="nil"/>
        </w:pBdr>
        <w:spacing w:after="0" w:line="240" w:lineRule="auto"/>
        <w:ind w:left="851" w:hanging="851"/>
        <w:rPr>
          <w:rFonts w:ascii="Arial" w:eastAsia="Times New Roman" w:hAnsi="Arial" w:cs="Arial"/>
          <w:color w:val="000000"/>
          <w:sz w:val="24"/>
          <w:szCs w:val="24"/>
        </w:rPr>
      </w:pPr>
      <w:r w:rsidRPr="0040766B">
        <w:rPr>
          <w:rFonts w:ascii="Arial" w:eastAsia="Times New Roman" w:hAnsi="Arial" w:cs="Arial"/>
          <w:color w:val="000000"/>
          <w:sz w:val="24"/>
          <w:szCs w:val="24"/>
        </w:rPr>
        <w:t xml:space="preserve">MASCARO, Alysson. </w:t>
      </w:r>
      <w:r w:rsidRPr="00785179">
        <w:rPr>
          <w:rFonts w:ascii="Arial" w:eastAsia="Times New Roman" w:hAnsi="Arial" w:cs="Arial"/>
          <w:i/>
          <w:iCs/>
          <w:color w:val="000000"/>
          <w:sz w:val="24"/>
          <w:szCs w:val="24"/>
        </w:rPr>
        <w:t>Sociologia do Direito</w:t>
      </w:r>
      <w:r w:rsidRPr="0040766B">
        <w:rPr>
          <w:rFonts w:ascii="Arial" w:eastAsia="Times New Roman" w:hAnsi="Arial" w:cs="Arial"/>
          <w:color w:val="000000"/>
          <w:sz w:val="24"/>
          <w:szCs w:val="24"/>
        </w:rPr>
        <w:t xml:space="preserve">. Editora Atlas: São Paulo, 2022 </w:t>
      </w:r>
    </w:p>
    <w:p w14:paraId="64B6D66E"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554D1C44"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 </w:t>
      </w:r>
      <w:r w:rsidRPr="00785179">
        <w:rPr>
          <w:rFonts w:ascii="Arial" w:eastAsia="Times New Roman" w:hAnsi="Arial" w:cs="Arial"/>
          <w:i/>
          <w:iCs/>
          <w:sz w:val="24"/>
          <w:szCs w:val="24"/>
        </w:rPr>
        <w:t>Filosofia do direito</w:t>
      </w:r>
      <w:r w:rsidRPr="0040766B">
        <w:rPr>
          <w:rFonts w:ascii="Arial" w:eastAsia="Times New Roman" w:hAnsi="Arial" w:cs="Arial"/>
          <w:sz w:val="24"/>
          <w:szCs w:val="24"/>
        </w:rPr>
        <w:t>. – 8. ed. – São Paulo: Atlas, 2021.</w:t>
      </w:r>
    </w:p>
    <w:p w14:paraId="0A424289"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2AFF2F7A"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FOUCAULT, Michel. </w:t>
      </w:r>
      <w:r w:rsidRPr="00785179">
        <w:rPr>
          <w:rFonts w:ascii="Arial" w:eastAsia="Times New Roman" w:hAnsi="Arial" w:cs="Arial"/>
          <w:i/>
          <w:iCs/>
          <w:sz w:val="24"/>
          <w:szCs w:val="24"/>
        </w:rPr>
        <w:t>As Malhas do Poder</w:t>
      </w:r>
      <w:r w:rsidRPr="0040766B">
        <w:rPr>
          <w:rFonts w:ascii="Arial" w:eastAsia="Times New Roman" w:hAnsi="Arial" w:cs="Arial"/>
          <w:sz w:val="24"/>
          <w:szCs w:val="24"/>
        </w:rPr>
        <w:t>. 1.ª parte: trad. P.W. Prado Jr.; Conferência pronunciada na Faculdade de Filosofia da Universidade da Bahia (1976). Barbárie, n. 4, verão de 1981.</w:t>
      </w:r>
    </w:p>
    <w:p w14:paraId="1ACD2D85"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4C5804C2"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lastRenderedPageBreak/>
        <w:t xml:space="preserve">____. </w:t>
      </w:r>
      <w:r w:rsidRPr="00785179">
        <w:rPr>
          <w:rFonts w:ascii="Arial" w:eastAsia="Times New Roman" w:hAnsi="Arial" w:cs="Arial"/>
          <w:i/>
          <w:iCs/>
          <w:sz w:val="24"/>
          <w:szCs w:val="24"/>
        </w:rPr>
        <w:t>Vigiar e punir: nascimento da prisão</w:t>
      </w:r>
      <w:r w:rsidRPr="0040766B">
        <w:rPr>
          <w:rFonts w:ascii="Arial" w:eastAsia="Times New Roman" w:hAnsi="Arial" w:cs="Arial"/>
          <w:sz w:val="24"/>
          <w:szCs w:val="24"/>
        </w:rPr>
        <w:t>; tradução de Raquel Ramalhete. Petrópolis, Vozes, 1987.</w:t>
      </w:r>
    </w:p>
    <w:p w14:paraId="67BB5E37"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1A1A58B9"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____. A </w:t>
      </w:r>
      <w:r w:rsidRPr="00785179">
        <w:rPr>
          <w:rFonts w:ascii="Arial" w:eastAsia="Times New Roman" w:hAnsi="Arial" w:cs="Arial"/>
          <w:i/>
          <w:iCs/>
          <w:sz w:val="24"/>
          <w:szCs w:val="24"/>
        </w:rPr>
        <w:t>História da Sexualidade I. A vontade do Saber</w:t>
      </w:r>
      <w:r w:rsidRPr="0040766B">
        <w:rPr>
          <w:rFonts w:ascii="Arial" w:eastAsia="Times New Roman" w:hAnsi="Arial" w:cs="Arial"/>
          <w:sz w:val="24"/>
          <w:szCs w:val="24"/>
        </w:rPr>
        <w:t>. Tradução de Maria Thereza da Costa Albuquerque e J. A. Guilhon Albuquerque 13.a Edição. Rio de Janeiro, Edições Graal, 1988.</w:t>
      </w:r>
    </w:p>
    <w:p w14:paraId="7FCA6488"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____. </w:t>
      </w:r>
      <w:r w:rsidRPr="00785179">
        <w:rPr>
          <w:rFonts w:ascii="Arial" w:eastAsia="Times New Roman" w:hAnsi="Arial" w:cs="Arial"/>
          <w:i/>
          <w:iCs/>
          <w:sz w:val="24"/>
          <w:szCs w:val="24"/>
        </w:rPr>
        <w:t>A verdade e as formas jurídicas</w:t>
      </w:r>
      <w:r w:rsidRPr="0040766B">
        <w:rPr>
          <w:rFonts w:ascii="Arial" w:eastAsia="Times New Roman" w:hAnsi="Arial" w:cs="Arial"/>
          <w:sz w:val="24"/>
          <w:szCs w:val="24"/>
        </w:rPr>
        <w:t xml:space="preserve">. (tradução Roberto Cabral de Melo Machado e Eduardo Jardim Morais, supervisão final do texto Léa Porto de Abreu Novaes. </w:t>
      </w:r>
      <w:proofErr w:type="spellStart"/>
      <w:r w:rsidRPr="0040766B">
        <w:rPr>
          <w:rFonts w:ascii="Arial" w:eastAsia="Times New Roman" w:hAnsi="Arial" w:cs="Arial"/>
          <w:sz w:val="24"/>
          <w:szCs w:val="24"/>
        </w:rPr>
        <w:t>etal</w:t>
      </w:r>
      <w:proofErr w:type="spellEnd"/>
      <w:r w:rsidRPr="0040766B">
        <w:rPr>
          <w:rFonts w:ascii="Arial" w:eastAsia="Times New Roman" w:hAnsi="Arial" w:cs="Arial"/>
          <w:sz w:val="24"/>
          <w:szCs w:val="24"/>
        </w:rPr>
        <w:t>. J. Rio de Janeiro: NAU Editora, 2002.</w:t>
      </w:r>
    </w:p>
    <w:p w14:paraId="127F9F82"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4516F97F"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 </w:t>
      </w:r>
      <w:proofErr w:type="spellStart"/>
      <w:r w:rsidRPr="00785179">
        <w:rPr>
          <w:rFonts w:ascii="Arial" w:eastAsia="Times New Roman" w:hAnsi="Arial" w:cs="Arial"/>
          <w:i/>
          <w:iCs/>
          <w:sz w:val="24"/>
          <w:szCs w:val="24"/>
        </w:rPr>
        <w:t>Seguridad</w:t>
      </w:r>
      <w:proofErr w:type="spellEnd"/>
      <w:r w:rsidRPr="00785179">
        <w:rPr>
          <w:rFonts w:ascii="Arial" w:eastAsia="Times New Roman" w:hAnsi="Arial" w:cs="Arial"/>
          <w:i/>
          <w:iCs/>
          <w:sz w:val="24"/>
          <w:szCs w:val="24"/>
        </w:rPr>
        <w:t xml:space="preserve">, </w:t>
      </w:r>
      <w:proofErr w:type="spellStart"/>
      <w:r w:rsidRPr="00785179">
        <w:rPr>
          <w:rFonts w:ascii="Arial" w:eastAsia="Times New Roman" w:hAnsi="Arial" w:cs="Arial"/>
          <w:i/>
          <w:iCs/>
          <w:sz w:val="24"/>
          <w:szCs w:val="24"/>
        </w:rPr>
        <w:t>territorio</w:t>
      </w:r>
      <w:proofErr w:type="spellEnd"/>
      <w:r w:rsidRPr="00785179">
        <w:rPr>
          <w:rFonts w:ascii="Arial" w:eastAsia="Times New Roman" w:hAnsi="Arial" w:cs="Arial"/>
          <w:i/>
          <w:iCs/>
          <w:sz w:val="24"/>
          <w:szCs w:val="24"/>
        </w:rPr>
        <w:t xml:space="preserve">, </w:t>
      </w:r>
      <w:proofErr w:type="spellStart"/>
      <w:r w:rsidRPr="00785179">
        <w:rPr>
          <w:rFonts w:ascii="Arial" w:eastAsia="Times New Roman" w:hAnsi="Arial" w:cs="Arial"/>
          <w:i/>
          <w:iCs/>
          <w:sz w:val="24"/>
          <w:szCs w:val="24"/>
        </w:rPr>
        <w:t>población</w:t>
      </w:r>
      <w:proofErr w:type="spellEnd"/>
      <w:r w:rsidRPr="0040766B">
        <w:rPr>
          <w:rFonts w:ascii="Arial" w:eastAsia="Times New Roman" w:hAnsi="Arial" w:cs="Arial"/>
          <w:sz w:val="24"/>
          <w:szCs w:val="24"/>
        </w:rPr>
        <w:t xml:space="preserve">: Curso </w:t>
      </w:r>
      <w:proofErr w:type="spellStart"/>
      <w:r w:rsidRPr="0040766B">
        <w:rPr>
          <w:rFonts w:ascii="Arial" w:eastAsia="Times New Roman" w:hAnsi="Arial" w:cs="Arial"/>
          <w:sz w:val="24"/>
          <w:szCs w:val="24"/>
        </w:rPr>
        <w:t>en</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el</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Collège</w:t>
      </w:r>
      <w:proofErr w:type="spellEnd"/>
      <w:r w:rsidRPr="0040766B">
        <w:rPr>
          <w:rFonts w:ascii="Arial" w:eastAsia="Times New Roman" w:hAnsi="Arial" w:cs="Arial"/>
          <w:sz w:val="24"/>
          <w:szCs w:val="24"/>
        </w:rPr>
        <w:t xml:space="preserve"> de France: 1977-1978 -Ia ed. - Buenos Aires : Fondo de Cultura Económica, 2006.</w:t>
      </w:r>
    </w:p>
    <w:p w14:paraId="1D6E4A9D"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2B313BD5" w14:textId="77777777" w:rsidR="00785179" w:rsidRPr="0040766B" w:rsidRDefault="00785179" w:rsidP="00785179">
      <w:pPr>
        <w:tabs>
          <w:tab w:val="left" w:pos="989"/>
        </w:tabs>
        <w:spacing w:after="0" w:line="240" w:lineRule="auto"/>
        <w:ind w:left="851" w:hanging="851"/>
        <w:jc w:val="both"/>
        <w:rPr>
          <w:rFonts w:ascii="Arial" w:eastAsia="Times New Roman" w:hAnsi="Arial" w:cs="Arial"/>
          <w:color w:val="000000"/>
          <w:sz w:val="24"/>
          <w:szCs w:val="24"/>
        </w:rPr>
      </w:pPr>
      <w:r w:rsidRPr="0040766B">
        <w:rPr>
          <w:rFonts w:ascii="Arial" w:eastAsia="Times New Roman" w:hAnsi="Arial" w:cs="Arial"/>
          <w:color w:val="000000"/>
          <w:sz w:val="24"/>
          <w:szCs w:val="24"/>
        </w:rPr>
        <w:t xml:space="preserve">___. </w:t>
      </w:r>
      <w:r w:rsidRPr="00785179">
        <w:rPr>
          <w:rFonts w:ascii="Arial" w:eastAsia="Times New Roman" w:hAnsi="Arial" w:cs="Arial"/>
          <w:i/>
          <w:iCs/>
          <w:color w:val="000000"/>
          <w:sz w:val="24"/>
          <w:szCs w:val="24"/>
        </w:rPr>
        <w:t>Segurança, território, população</w:t>
      </w:r>
      <w:r w:rsidRPr="0040766B">
        <w:rPr>
          <w:rFonts w:ascii="Arial" w:eastAsia="Times New Roman" w:hAnsi="Arial" w:cs="Arial"/>
          <w:color w:val="000000"/>
          <w:sz w:val="24"/>
          <w:szCs w:val="24"/>
        </w:rPr>
        <w:t xml:space="preserve">: curso dado no </w:t>
      </w:r>
      <w:proofErr w:type="spellStart"/>
      <w:r w:rsidRPr="0040766B">
        <w:rPr>
          <w:rFonts w:ascii="Arial" w:eastAsia="Times New Roman" w:hAnsi="Arial" w:cs="Arial"/>
          <w:i/>
          <w:iCs/>
          <w:color w:val="000000"/>
          <w:sz w:val="24"/>
          <w:szCs w:val="24"/>
        </w:rPr>
        <w:t>College</w:t>
      </w:r>
      <w:proofErr w:type="spellEnd"/>
      <w:r w:rsidRPr="0040766B">
        <w:rPr>
          <w:rFonts w:ascii="Arial" w:eastAsia="Times New Roman" w:hAnsi="Arial" w:cs="Arial"/>
          <w:i/>
          <w:iCs/>
          <w:color w:val="000000"/>
          <w:sz w:val="24"/>
          <w:szCs w:val="24"/>
        </w:rPr>
        <w:t xml:space="preserve"> de France</w:t>
      </w:r>
      <w:r w:rsidRPr="0040766B">
        <w:rPr>
          <w:rFonts w:ascii="Arial" w:eastAsia="Times New Roman" w:hAnsi="Arial" w:cs="Arial"/>
          <w:color w:val="000000"/>
          <w:sz w:val="24"/>
          <w:szCs w:val="24"/>
        </w:rPr>
        <w:t xml:space="preserve"> (1977-1978); edição estabelecida por Michel </w:t>
      </w:r>
      <w:proofErr w:type="spellStart"/>
      <w:r w:rsidRPr="0040766B">
        <w:rPr>
          <w:rFonts w:ascii="Arial" w:eastAsia="Times New Roman" w:hAnsi="Arial" w:cs="Arial"/>
          <w:color w:val="000000"/>
          <w:sz w:val="24"/>
          <w:szCs w:val="24"/>
        </w:rPr>
        <w:t>Senellart</w:t>
      </w:r>
      <w:proofErr w:type="spellEnd"/>
      <w:r w:rsidRPr="0040766B">
        <w:rPr>
          <w:rFonts w:ascii="Arial" w:eastAsia="Times New Roman" w:hAnsi="Arial" w:cs="Arial"/>
          <w:color w:val="000000"/>
          <w:sz w:val="24"/>
          <w:szCs w:val="24"/>
        </w:rPr>
        <w:t xml:space="preserve"> sob a direção de Francois Ewald e </w:t>
      </w:r>
      <w:proofErr w:type="spellStart"/>
      <w:r w:rsidRPr="0040766B">
        <w:rPr>
          <w:rFonts w:ascii="Arial" w:eastAsia="Times New Roman" w:hAnsi="Arial" w:cs="Arial"/>
          <w:color w:val="000000"/>
          <w:sz w:val="24"/>
          <w:szCs w:val="24"/>
        </w:rPr>
        <w:t>AjessandroFontana</w:t>
      </w:r>
      <w:proofErr w:type="spellEnd"/>
      <w:r w:rsidRPr="0040766B">
        <w:rPr>
          <w:rFonts w:ascii="Arial" w:eastAsia="Times New Roman" w:hAnsi="Arial" w:cs="Arial"/>
          <w:color w:val="000000"/>
          <w:sz w:val="24"/>
          <w:szCs w:val="24"/>
        </w:rPr>
        <w:t>; tradução Eduardo Brandão; revisão da tradução Claudia Berliner. - São Paulo: Martins Fontes, 2008. (Coleção tópicos)</w:t>
      </w:r>
    </w:p>
    <w:p w14:paraId="1AD12935" w14:textId="77777777" w:rsidR="00785179" w:rsidRPr="0040766B" w:rsidRDefault="00785179" w:rsidP="00785179">
      <w:pPr>
        <w:tabs>
          <w:tab w:val="left" w:pos="989"/>
        </w:tabs>
        <w:spacing w:after="0" w:line="240" w:lineRule="auto"/>
        <w:ind w:left="851" w:hanging="851"/>
        <w:jc w:val="both"/>
        <w:rPr>
          <w:rFonts w:ascii="Arial" w:eastAsia="Times New Roman" w:hAnsi="Arial" w:cs="Arial"/>
          <w:color w:val="000000"/>
          <w:sz w:val="24"/>
          <w:szCs w:val="24"/>
        </w:rPr>
      </w:pPr>
    </w:p>
    <w:p w14:paraId="65268D06"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 </w:t>
      </w:r>
      <w:r w:rsidRPr="00785179">
        <w:rPr>
          <w:rFonts w:ascii="Arial" w:eastAsia="Times New Roman" w:hAnsi="Arial" w:cs="Arial"/>
          <w:i/>
          <w:iCs/>
          <w:sz w:val="24"/>
          <w:szCs w:val="24"/>
        </w:rPr>
        <w:t xml:space="preserve">O Nascimento da </w:t>
      </w:r>
      <w:proofErr w:type="spellStart"/>
      <w:r w:rsidRPr="00785179">
        <w:rPr>
          <w:rFonts w:ascii="Arial" w:eastAsia="Times New Roman" w:hAnsi="Arial" w:cs="Arial"/>
          <w:i/>
          <w:iCs/>
          <w:sz w:val="24"/>
          <w:szCs w:val="24"/>
        </w:rPr>
        <w:t>Biopolitica</w:t>
      </w:r>
      <w:proofErr w:type="spellEnd"/>
      <w:r w:rsidRPr="0040766B">
        <w:rPr>
          <w:rFonts w:ascii="Arial" w:eastAsia="Times New Roman" w:hAnsi="Arial" w:cs="Arial"/>
          <w:sz w:val="24"/>
          <w:szCs w:val="24"/>
        </w:rPr>
        <w:t xml:space="preserve">. Curso dado </w:t>
      </w:r>
      <w:r w:rsidRPr="0040766B">
        <w:rPr>
          <w:rFonts w:ascii="Arial" w:eastAsia="Times New Roman" w:hAnsi="Arial" w:cs="Arial"/>
          <w:i/>
          <w:iCs/>
          <w:sz w:val="24"/>
          <w:szCs w:val="24"/>
        </w:rPr>
        <w:t xml:space="preserve">no </w:t>
      </w:r>
      <w:proofErr w:type="spellStart"/>
      <w:r w:rsidRPr="0040766B">
        <w:rPr>
          <w:rFonts w:ascii="Arial" w:eastAsia="Times New Roman" w:hAnsi="Arial" w:cs="Arial"/>
          <w:i/>
          <w:iCs/>
          <w:sz w:val="24"/>
          <w:szCs w:val="24"/>
        </w:rPr>
        <w:t>College</w:t>
      </w:r>
      <w:proofErr w:type="spellEnd"/>
      <w:r w:rsidRPr="0040766B">
        <w:rPr>
          <w:rFonts w:ascii="Arial" w:eastAsia="Times New Roman" w:hAnsi="Arial" w:cs="Arial"/>
          <w:i/>
          <w:iCs/>
          <w:sz w:val="24"/>
          <w:szCs w:val="24"/>
        </w:rPr>
        <w:t xml:space="preserve"> de France</w:t>
      </w:r>
      <w:r w:rsidRPr="0040766B">
        <w:rPr>
          <w:rFonts w:ascii="Arial" w:eastAsia="Times New Roman" w:hAnsi="Arial" w:cs="Arial"/>
          <w:sz w:val="24"/>
          <w:szCs w:val="24"/>
        </w:rPr>
        <w:t>. São Paulo: Martins Fontes, 2008.</w:t>
      </w:r>
    </w:p>
    <w:p w14:paraId="12FD16EB"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1264F2E4"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 </w:t>
      </w:r>
      <w:r w:rsidRPr="00785179">
        <w:rPr>
          <w:rFonts w:ascii="Arial" w:eastAsia="Times New Roman" w:hAnsi="Arial" w:cs="Arial"/>
          <w:i/>
          <w:iCs/>
          <w:sz w:val="24"/>
          <w:szCs w:val="24"/>
        </w:rPr>
        <w:t>Em defesa da sociedade</w:t>
      </w:r>
      <w:r w:rsidRPr="0040766B">
        <w:rPr>
          <w:rFonts w:ascii="Arial" w:eastAsia="Times New Roman" w:hAnsi="Arial" w:cs="Arial"/>
          <w:sz w:val="24"/>
          <w:szCs w:val="24"/>
        </w:rPr>
        <w:t xml:space="preserve">: curso no </w:t>
      </w:r>
      <w:proofErr w:type="spellStart"/>
      <w:r w:rsidRPr="0040766B">
        <w:rPr>
          <w:rFonts w:ascii="Arial" w:eastAsia="Times New Roman" w:hAnsi="Arial" w:cs="Arial"/>
          <w:sz w:val="24"/>
          <w:szCs w:val="24"/>
        </w:rPr>
        <w:t>College</w:t>
      </w:r>
      <w:proofErr w:type="spellEnd"/>
      <w:r w:rsidRPr="0040766B">
        <w:rPr>
          <w:rFonts w:ascii="Arial" w:eastAsia="Times New Roman" w:hAnsi="Arial" w:cs="Arial"/>
          <w:sz w:val="24"/>
          <w:szCs w:val="24"/>
        </w:rPr>
        <w:t xml:space="preserve"> de France (1976). Tradução Maria </w:t>
      </w:r>
      <w:proofErr w:type="spellStart"/>
      <w:r w:rsidRPr="0040766B">
        <w:rPr>
          <w:rFonts w:ascii="Arial" w:eastAsia="Times New Roman" w:hAnsi="Arial" w:cs="Arial"/>
          <w:sz w:val="24"/>
          <w:szCs w:val="24"/>
        </w:rPr>
        <w:t>Ermentina</w:t>
      </w:r>
      <w:proofErr w:type="spellEnd"/>
      <w:r w:rsidRPr="0040766B">
        <w:rPr>
          <w:rFonts w:ascii="Arial" w:eastAsia="Times New Roman" w:hAnsi="Arial" w:cs="Arial"/>
          <w:sz w:val="24"/>
          <w:szCs w:val="24"/>
        </w:rPr>
        <w:t xml:space="preserve"> Galvão. 2 edição – São Paulo: Editora WMF Martins Fontes, 2010.</w:t>
      </w:r>
    </w:p>
    <w:p w14:paraId="45C6CD2D"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76BA0199"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 </w:t>
      </w:r>
      <w:r w:rsidRPr="00785179">
        <w:rPr>
          <w:rFonts w:ascii="Arial" w:eastAsia="Times New Roman" w:hAnsi="Arial" w:cs="Arial"/>
          <w:i/>
          <w:iCs/>
          <w:sz w:val="24"/>
          <w:szCs w:val="24"/>
        </w:rPr>
        <w:t xml:space="preserve">Il </w:t>
      </w:r>
      <w:proofErr w:type="spellStart"/>
      <w:r w:rsidRPr="00785179">
        <w:rPr>
          <w:rFonts w:ascii="Arial" w:eastAsia="Times New Roman" w:hAnsi="Arial" w:cs="Arial"/>
          <w:i/>
          <w:iCs/>
          <w:sz w:val="24"/>
          <w:szCs w:val="24"/>
        </w:rPr>
        <w:t>faut</w:t>
      </w:r>
      <w:proofErr w:type="spellEnd"/>
      <w:r w:rsidRPr="00785179">
        <w:rPr>
          <w:rFonts w:ascii="Arial" w:eastAsia="Times New Roman" w:hAnsi="Arial" w:cs="Arial"/>
          <w:i/>
          <w:iCs/>
          <w:sz w:val="24"/>
          <w:szCs w:val="24"/>
        </w:rPr>
        <w:t xml:space="preserve"> </w:t>
      </w:r>
      <w:proofErr w:type="spellStart"/>
      <w:r w:rsidRPr="00785179">
        <w:rPr>
          <w:rFonts w:ascii="Arial" w:eastAsia="Times New Roman" w:hAnsi="Arial" w:cs="Arial"/>
          <w:i/>
          <w:iCs/>
          <w:sz w:val="24"/>
          <w:szCs w:val="24"/>
        </w:rPr>
        <w:t>défendre</w:t>
      </w:r>
      <w:proofErr w:type="spellEnd"/>
      <w:r w:rsidRPr="00785179">
        <w:rPr>
          <w:rFonts w:ascii="Arial" w:eastAsia="Times New Roman" w:hAnsi="Arial" w:cs="Arial"/>
          <w:i/>
          <w:iCs/>
          <w:sz w:val="24"/>
          <w:szCs w:val="24"/>
        </w:rPr>
        <w:t xml:space="preserve"> </w:t>
      </w:r>
      <w:proofErr w:type="spellStart"/>
      <w:r w:rsidRPr="00785179">
        <w:rPr>
          <w:rFonts w:ascii="Arial" w:eastAsia="Times New Roman" w:hAnsi="Arial" w:cs="Arial"/>
          <w:i/>
          <w:iCs/>
          <w:sz w:val="24"/>
          <w:szCs w:val="24"/>
        </w:rPr>
        <w:t>la</w:t>
      </w:r>
      <w:proofErr w:type="spellEnd"/>
      <w:r w:rsidRPr="00785179">
        <w:rPr>
          <w:rFonts w:ascii="Arial" w:eastAsia="Times New Roman" w:hAnsi="Arial" w:cs="Arial"/>
          <w:i/>
          <w:iCs/>
          <w:sz w:val="24"/>
          <w:szCs w:val="24"/>
        </w:rPr>
        <w:t xml:space="preserve"> </w:t>
      </w:r>
      <w:proofErr w:type="spellStart"/>
      <w:r w:rsidRPr="00785179">
        <w:rPr>
          <w:rFonts w:ascii="Arial" w:eastAsia="Times New Roman" w:hAnsi="Arial" w:cs="Arial"/>
          <w:i/>
          <w:iCs/>
          <w:sz w:val="24"/>
          <w:szCs w:val="24"/>
        </w:rPr>
        <w:t>société</w:t>
      </w:r>
      <w:proofErr w:type="spellEnd"/>
      <w:r w:rsidRPr="0040766B">
        <w:rPr>
          <w:rFonts w:ascii="Arial" w:eastAsia="Times New Roman" w:hAnsi="Arial" w:cs="Arial"/>
          <w:sz w:val="24"/>
          <w:szCs w:val="24"/>
        </w:rPr>
        <w:t xml:space="preserve">. Cours </w:t>
      </w:r>
      <w:proofErr w:type="spellStart"/>
      <w:r w:rsidRPr="0040766B">
        <w:rPr>
          <w:rFonts w:ascii="Arial" w:eastAsia="Times New Roman" w:hAnsi="Arial" w:cs="Arial"/>
          <w:sz w:val="24"/>
          <w:szCs w:val="24"/>
        </w:rPr>
        <w:t>au</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Collège</w:t>
      </w:r>
      <w:proofErr w:type="spellEnd"/>
      <w:r w:rsidRPr="0040766B">
        <w:rPr>
          <w:rFonts w:ascii="Arial" w:eastAsia="Times New Roman" w:hAnsi="Arial" w:cs="Arial"/>
          <w:sz w:val="24"/>
          <w:szCs w:val="24"/>
        </w:rPr>
        <w:t xml:space="preserve"> de France (1975-1976) </w:t>
      </w:r>
      <w:proofErr w:type="spellStart"/>
      <w:r w:rsidRPr="0040766B">
        <w:rPr>
          <w:rFonts w:ascii="Arial" w:eastAsia="Times New Roman" w:hAnsi="Arial" w:cs="Arial"/>
          <w:sz w:val="24"/>
          <w:szCs w:val="24"/>
        </w:rPr>
        <w:t>Édition</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établie,dans</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le</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cadre</w:t>
      </w:r>
      <w:proofErr w:type="spellEnd"/>
      <w:r w:rsidRPr="0040766B">
        <w:rPr>
          <w:rFonts w:ascii="Arial" w:eastAsia="Times New Roman" w:hAnsi="Arial" w:cs="Arial"/>
          <w:sz w:val="24"/>
          <w:szCs w:val="24"/>
        </w:rPr>
        <w:t xml:space="preserve"> de </w:t>
      </w:r>
      <w:proofErr w:type="spellStart"/>
      <w:r w:rsidRPr="0040766B">
        <w:rPr>
          <w:rFonts w:ascii="Arial" w:eastAsia="Times New Roman" w:hAnsi="Arial" w:cs="Arial"/>
          <w:sz w:val="24"/>
          <w:szCs w:val="24"/>
        </w:rPr>
        <w:t>l’Association</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pour</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le</w:t>
      </w:r>
      <w:proofErr w:type="spellEnd"/>
      <w:r w:rsidRPr="0040766B">
        <w:rPr>
          <w:rFonts w:ascii="Arial" w:eastAsia="Times New Roman" w:hAnsi="Arial" w:cs="Arial"/>
          <w:sz w:val="24"/>
          <w:szCs w:val="24"/>
        </w:rPr>
        <w:t xml:space="preserve"> Centre Michel Foucault, </w:t>
      </w:r>
      <w:proofErr w:type="spellStart"/>
      <w:r w:rsidRPr="0040766B">
        <w:rPr>
          <w:rFonts w:ascii="Arial" w:eastAsia="Times New Roman" w:hAnsi="Arial" w:cs="Arial"/>
          <w:sz w:val="24"/>
          <w:szCs w:val="24"/>
        </w:rPr>
        <w:t>sous</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la</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direction</w:t>
      </w:r>
      <w:proofErr w:type="spellEnd"/>
      <w:r w:rsidRPr="0040766B">
        <w:rPr>
          <w:rFonts w:ascii="Arial" w:eastAsia="Times New Roman" w:hAnsi="Arial" w:cs="Arial"/>
          <w:sz w:val="24"/>
          <w:szCs w:val="24"/>
        </w:rPr>
        <w:t xml:space="preserve"> de François Ewald et Alessandro Fontana, par Mauro Bertani et Alessandro Fontana </w:t>
      </w:r>
      <w:proofErr w:type="spellStart"/>
      <w:r w:rsidRPr="0040766B">
        <w:rPr>
          <w:rFonts w:ascii="Arial" w:eastAsia="Times New Roman" w:hAnsi="Arial" w:cs="Arial"/>
          <w:sz w:val="24"/>
          <w:szCs w:val="24"/>
        </w:rPr>
        <w:t>Édition</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numérique</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réalisée</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en</w:t>
      </w:r>
      <w:proofErr w:type="spellEnd"/>
      <w:r w:rsidRPr="0040766B">
        <w:rPr>
          <w:rFonts w:ascii="Arial" w:eastAsia="Times New Roman" w:hAnsi="Arial" w:cs="Arial"/>
          <w:sz w:val="24"/>
          <w:szCs w:val="24"/>
        </w:rPr>
        <w:t xml:space="preserve"> </w:t>
      </w:r>
      <w:proofErr w:type="spellStart"/>
      <w:r w:rsidRPr="0040766B">
        <w:rPr>
          <w:rFonts w:ascii="Arial" w:eastAsia="Times New Roman" w:hAnsi="Arial" w:cs="Arial"/>
          <w:sz w:val="24"/>
          <w:szCs w:val="24"/>
        </w:rPr>
        <w:t>août</w:t>
      </w:r>
      <w:proofErr w:type="spellEnd"/>
      <w:r w:rsidRPr="0040766B">
        <w:rPr>
          <w:rFonts w:ascii="Arial" w:eastAsia="Times New Roman" w:hAnsi="Arial" w:cs="Arial"/>
          <w:sz w:val="24"/>
          <w:szCs w:val="24"/>
        </w:rPr>
        <w:t xml:space="preserve"> 2012.</w:t>
      </w:r>
    </w:p>
    <w:p w14:paraId="58DC4B02"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16367275"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___. </w:t>
      </w:r>
      <w:r w:rsidRPr="00785179">
        <w:rPr>
          <w:rFonts w:ascii="Arial" w:eastAsia="Times New Roman" w:hAnsi="Arial" w:cs="Arial"/>
          <w:i/>
          <w:iCs/>
          <w:sz w:val="24"/>
          <w:szCs w:val="24"/>
        </w:rPr>
        <w:t>A Sociedade Punitiva.</w:t>
      </w:r>
      <w:r w:rsidRPr="0040766B">
        <w:rPr>
          <w:rFonts w:ascii="Arial" w:eastAsia="Times New Roman" w:hAnsi="Arial" w:cs="Arial"/>
          <w:sz w:val="24"/>
          <w:szCs w:val="24"/>
        </w:rPr>
        <w:t xml:space="preserve"> Tradução </w:t>
      </w:r>
      <w:proofErr w:type="spellStart"/>
      <w:r w:rsidRPr="0040766B">
        <w:rPr>
          <w:rFonts w:ascii="Arial" w:eastAsia="Times New Roman" w:hAnsi="Arial" w:cs="Arial"/>
          <w:sz w:val="24"/>
          <w:szCs w:val="24"/>
        </w:rPr>
        <w:t>Ivoni</w:t>
      </w:r>
      <w:proofErr w:type="spellEnd"/>
      <w:r w:rsidRPr="0040766B">
        <w:rPr>
          <w:rFonts w:ascii="Arial" w:eastAsia="Times New Roman" w:hAnsi="Arial" w:cs="Arial"/>
          <w:sz w:val="24"/>
          <w:szCs w:val="24"/>
        </w:rPr>
        <w:t xml:space="preserve"> Benedetti. São Paulo: Martins Fontes, 2015.</w:t>
      </w:r>
    </w:p>
    <w:p w14:paraId="41D1A71B"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23047DEB"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color w:val="000000"/>
          <w:sz w:val="24"/>
          <w:szCs w:val="24"/>
        </w:rPr>
        <w:t xml:space="preserve">___. </w:t>
      </w:r>
      <w:r w:rsidRPr="00785179">
        <w:rPr>
          <w:rFonts w:ascii="Arial" w:eastAsia="Times New Roman" w:hAnsi="Arial" w:cs="Arial"/>
          <w:i/>
          <w:iCs/>
          <w:color w:val="000000"/>
          <w:sz w:val="24"/>
          <w:szCs w:val="24"/>
        </w:rPr>
        <w:t>As Palavras e as Coisas [recurso eletrônico].</w:t>
      </w:r>
      <w:r w:rsidRPr="0040766B">
        <w:rPr>
          <w:rFonts w:ascii="Arial" w:eastAsia="Times New Roman" w:hAnsi="Arial" w:cs="Arial"/>
          <w:color w:val="000000"/>
          <w:sz w:val="24"/>
          <w:szCs w:val="24"/>
        </w:rPr>
        <w:t xml:space="preserve"> Organização: </w:t>
      </w:r>
      <w:proofErr w:type="spellStart"/>
      <w:r w:rsidRPr="0040766B">
        <w:rPr>
          <w:rFonts w:ascii="Arial" w:eastAsia="Times New Roman" w:hAnsi="Arial" w:cs="Arial"/>
          <w:color w:val="000000"/>
          <w:sz w:val="24"/>
          <w:szCs w:val="24"/>
        </w:rPr>
        <w:t>Kelin</w:t>
      </w:r>
      <w:proofErr w:type="spellEnd"/>
      <w:r w:rsidRPr="0040766B">
        <w:rPr>
          <w:rFonts w:ascii="Arial" w:eastAsia="Times New Roman" w:hAnsi="Arial" w:cs="Arial"/>
          <w:color w:val="000000"/>
          <w:sz w:val="24"/>
          <w:szCs w:val="24"/>
        </w:rPr>
        <w:t xml:space="preserve"> </w:t>
      </w:r>
      <w:proofErr w:type="spellStart"/>
      <w:r w:rsidRPr="0040766B">
        <w:rPr>
          <w:rFonts w:ascii="Arial" w:eastAsia="Times New Roman" w:hAnsi="Arial" w:cs="Arial"/>
          <w:color w:val="000000"/>
          <w:sz w:val="24"/>
          <w:szCs w:val="24"/>
        </w:rPr>
        <w:t>Valeirão</w:t>
      </w:r>
      <w:proofErr w:type="spellEnd"/>
      <w:r w:rsidRPr="0040766B">
        <w:rPr>
          <w:rFonts w:ascii="Arial" w:eastAsia="Times New Roman" w:hAnsi="Arial" w:cs="Arial"/>
          <w:color w:val="000000"/>
          <w:sz w:val="24"/>
          <w:szCs w:val="24"/>
        </w:rPr>
        <w:t xml:space="preserve"> e Sônia Maria </w:t>
      </w:r>
      <w:proofErr w:type="spellStart"/>
      <w:r w:rsidRPr="0040766B">
        <w:rPr>
          <w:rFonts w:ascii="Arial" w:eastAsia="Times New Roman" w:hAnsi="Arial" w:cs="Arial"/>
          <w:color w:val="000000"/>
          <w:sz w:val="24"/>
          <w:szCs w:val="24"/>
        </w:rPr>
        <w:t>Schio</w:t>
      </w:r>
      <w:proofErr w:type="spellEnd"/>
      <w:r w:rsidRPr="0040766B">
        <w:rPr>
          <w:rFonts w:ascii="Arial" w:eastAsia="Times New Roman" w:hAnsi="Arial" w:cs="Arial"/>
          <w:color w:val="000000"/>
          <w:sz w:val="24"/>
          <w:szCs w:val="24"/>
        </w:rPr>
        <w:t xml:space="preserve"> Pelotas: NEPFIL Online, 2017.</w:t>
      </w:r>
    </w:p>
    <w:p w14:paraId="7E5F624E" w14:textId="77777777" w:rsidR="00785179" w:rsidRPr="0040766B" w:rsidRDefault="00785179" w:rsidP="00785179">
      <w:pPr>
        <w:pBdr>
          <w:top w:val="nil"/>
          <w:left w:val="nil"/>
          <w:bottom w:val="nil"/>
          <w:right w:val="nil"/>
          <w:between w:val="nil"/>
        </w:pBdr>
        <w:spacing w:after="0" w:line="240" w:lineRule="auto"/>
        <w:ind w:left="851" w:hanging="851"/>
        <w:jc w:val="both"/>
        <w:rPr>
          <w:rFonts w:ascii="Arial" w:eastAsia="Times New Roman" w:hAnsi="Arial" w:cs="Arial"/>
          <w:color w:val="000000"/>
          <w:sz w:val="24"/>
          <w:szCs w:val="24"/>
        </w:rPr>
      </w:pPr>
    </w:p>
    <w:p w14:paraId="2C4B448C" w14:textId="1ED07709" w:rsidR="00785179" w:rsidRPr="0040766B" w:rsidRDefault="00785179" w:rsidP="00785179">
      <w:pPr>
        <w:pBdr>
          <w:top w:val="nil"/>
          <w:left w:val="nil"/>
          <w:bottom w:val="nil"/>
          <w:right w:val="nil"/>
          <w:between w:val="nil"/>
        </w:pBdr>
        <w:spacing w:after="0" w:line="240" w:lineRule="auto"/>
        <w:ind w:left="851" w:hanging="851"/>
        <w:jc w:val="both"/>
        <w:rPr>
          <w:rFonts w:ascii="Arial" w:eastAsia="Times New Roman" w:hAnsi="Arial" w:cs="Arial"/>
          <w:color w:val="000000"/>
          <w:sz w:val="24"/>
          <w:szCs w:val="24"/>
        </w:rPr>
      </w:pPr>
      <w:r w:rsidRPr="0040766B">
        <w:rPr>
          <w:rFonts w:ascii="Arial" w:eastAsia="Times New Roman" w:hAnsi="Arial" w:cs="Arial"/>
          <w:color w:val="000000"/>
          <w:sz w:val="24"/>
          <w:szCs w:val="24"/>
        </w:rPr>
        <w:t>___.</w:t>
      </w:r>
      <w:r w:rsidRPr="0040766B">
        <w:rPr>
          <w:rFonts w:ascii="Arial" w:eastAsia="Times New Roman" w:hAnsi="Arial" w:cs="Arial"/>
          <w:b/>
          <w:bCs/>
          <w:color w:val="000000"/>
          <w:sz w:val="24"/>
          <w:szCs w:val="24"/>
        </w:rPr>
        <w:t xml:space="preserve"> </w:t>
      </w:r>
      <w:r w:rsidRPr="00785179">
        <w:rPr>
          <w:rFonts w:ascii="Arial" w:eastAsia="Times New Roman" w:hAnsi="Arial" w:cs="Arial"/>
          <w:i/>
          <w:iCs/>
          <w:color w:val="000000"/>
          <w:sz w:val="24"/>
          <w:szCs w:val="24"/>
        </w:rPr>
        <w:t>Microfísica do Poder.</w:t>
      </w:r>
      <w:r w:rsidRPr="0040766B">
        <w:rPr>
          <w:rFonts w:ascii="Arial" w:eastAsia="Times New Roman" w:hAnsi="Arial" w:cs="Arial"/>
          <w:color w:val="000000"/>
          <w:sz w:val="24"/>
          <w:szCs w:val="24"/>
        </w:rPr>
        <w:t xml:space="preserve"> Disponível em: </w:t>
      </w:r>
      <w:r w:rsidRPr="0040766B">
        <w:rPr>
          <w:rFonts w:ascii="Arial" w:eastAsia="Times New Roman" w:hAnsi="Arial" w:cs="Arial"/>
          <w:color w:val="000000"/>
          <w:sz w:val="24"/>
          <w:szCs w:val="24"/>
          <w:u w:val="single"/>
        </w:rPr>
        <w:t>https://www.nodo50.org/insurgentes/biblioteca/A_Microfisica_do_Poder_Michel_Foulcault.pdf</w:t>
      </w:r>
      <w:r w:rsidRPr="0040766B">
        <w:rPr>
          <w:rFonts w:ascii="Arial" w:eastAsia="Times New Roman" w:hAnsi="Arial" w:cs="Arial"/>
          <w:color w:val="000000"/>
          <w:sz w:val="24"/>
          <w:szCs w:val="24"/>
        </w:rPr>
        <w:t xml:space="preserve">. Acesso em 09 de junho de 2024. </w:t>
      </w:r>
    </w:p>
    <w:p w14:paraId="5E916C39" w14:textId="77777777" w:rsidR="00785179" w:rsidRPr="0040766B" w:rsidRDefault="00785179" w:rsidP="00785179">
      <w:pPr>
        <w:pBdr>
          <w:top w:val="nil"/>
          <w:left w:val="nil"/>
          <w:bottom w:val="nil"/>
          <w:right w:val="nil"/>
          <w:between w:val="nil"/>
        </w:pBdr>
        <w:spacing w:after="0" w:line="240" w:lineRule="auto"/>
        <w:ind w:left="851" w:hanging="851"/>
        <w:jc w:val="both"/>
        <w:rPr>
          <w:rFonts w:ascii="Arial" w:eastAsia="Times New Roman" w:hAnsi="Arial" w:cs="Arial"/>
          <w:color w:val="000000"/>
          <w:sz w:val="24"/>
          <w:szCs w:val="24"/>
        </w:rPr>
      </w:pPr>
    </w:p>
    <w:p w14:paraId="0BF1BDD9" w14:textId="77777777" w:rsidR="00785179" w:rsidRPr="0040766B" w:rsidRDefault="00785179" w:rsidP="00785179">
      <w:pPr>
        <w:pBdr>
          <w:top w:val="nil"/>
          <w:left w:val="nil"/>
          <w:bottom w:val="nil"/>
          <w:right w:val="nil"/>
          <w:between w:val="nil"/>
        </w:pBdr>
        <w:spacing w:after="0" w:line="240" w:lineRule="auto"/>
        <w:ind w:left="851" w:hanging="851"/>
        <w:jc w:val="both"/>
        <w:rPr>
          <w:rFonts w:ascii="Arial" w:eastAsia="Times New Roman" w:hAnsi="Arial" w:cs="Arial"/>
          <w:color w:val="000000"/>
          <w:sz w:val="24"/>
          <w:szCs w:val="24"/>
        </w:rPr>
      </w:pPr>
      <w:r w:rsidRPr="0040766B">
        <w:rPr>
          <w:rFonts w:ascii="Arial" w:eastAsia="Times New Roman" w:hAnsi="Arial" w:cs="Arial"/>
          <w:color w:val="000000"/>
          <w:sz w:val="24"/>
          <w:szCs w:val="24"/>
        </w:rPr>
        <w:t xml:space="preserve">FONSECA, Márcio Alves da. </w:t>
      </w:r>
      <w:r w:rsidRPr="00785179">
        <w:rPr>
          <w:rFonts w:ascii="Arial" w:eastAsia="Times New Roman" w:hAnsi="Arial" w:cs="Arial"/>
          <w:i/>
          <w:iCs/>
          <w:color w:val="000000"/>
          <w:sz w:val="24"/>
          <w:szCs w:val="24"/>
        </w:rPr>
        <w:t>O direito nos jogos. Entre a lei a e norma</w:t>
      </w:r>
      <w:r w:rsidRPr="0040766B">
        <w:rPr>
          <w:rFonts w:ascii="Arial" w:eastAsia="Times New Roman" w:hAnsi="Arial" w:cs="Arial"/>
          <w:color w:val="000000"/>
          <w:sz w:val="24"/>
          <w:szCs w:val="24"/>
        </w:rPr>
        <w:t>. SILVA, Felipe Gonçalves. Manual de sociologia jurídica. – 3. ed. – São Paulo: Saraiva Educação, 2019.</w:t>
      </w:r>
    </w:p>
    <w:p w14:paraId="540CD9F7" w14:textId="77777777" w:rsidR="00785179" w:rsidRPr="0040766B" w:rsidRDefault="00785179" w:rsidP="00785179">
      <w:pPr>
        <w:pBdr>
          <w:top w:val="nil"/>
          <w:left w:val="nil"/>
          <w:bottom w:val="nil"/>
          <w:right w:val="nil"/>
          <w:between w:val="nil"/>
        </w:pBdr>
        <w:spacing w:after="0" w:line="240" w:lineRule="auto"/>
        <w:ind w:left="851" w:hanging="851"/>
        <w:jc w:val="both"/>
        <w:rPr>
          <w:rFonts w:ascii="Arial" w:eastAsia="Times New Roman" w:hAnsi="Arial" w:cs="Arial"/>
          <w:color w:val="000000"/>
          <w:sz w:val="24"/>
          <w:szCs w:val="24"/>
        </w:rPr>
      </w:pPr>
    </w:p>
    <w:p w14:paraId="0C12B20C"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lastRenderedPageBreak/>
        <w:t xml:space="preserve">PACHUCANIS, </w:t>
      </w:r>
      <w:proofErr w:type="spellStart"/>
      <w:r w:rsidRPr="0040766B">
        <w:rPr>
          <w:rFonts w:ascii="Arial" w:eastAsia="Times New Roman" w:hAnsi="Arial" w:cs="Arial"/>
          <w:sz w:val="24"/>
          <w:szCs w:val="24"/>
        </w:rPr>
        <w:t>Evguieni</w:t>
      </w:r>
      <w:proofErr w:type="spellEnd"/>
      <w:r w:rsidRPr="0040766B">
        <w:rPr>
          <w:rFonts w:ascii="Arial" w:eastAsia="Times New Roman" w:hAnsi="Arial" w:cs="Arial"/>
          <w:sz w:val="24"/>
          <w:szCs w:val="24"/>
        </w:rPr>
        <w:t xml:space="preserve">. </w:t>
      </w:r>
      <w:r w:rsidRPr="00785179">
        <w:rPr>
          <w:rFonts w:ascii="Arial" w:eastAsia="Times New Roman" w:hAnsi="Arial" w:cs="Arial"/>
          <w:i/>
          <w:iCs/>
          <w:sz w:val="24"/>
          <w:szCs w:val="24"/>
        </w:rPr>
        <w:t>Teoria Geral do Direito e Marxismo</w:t>
      </w:r>
      <w:r w:rsidRPr="0040766B">
        <w:rPr>
          <w:rFonts w:ascii="Arial" w:eastAsia="Times New Roman" w:hAnsi="Arial" w:cs="Arial"/>
          <w:sz w:val="24"/>
          <w:szCs w:val="24"/>
        </w:rPr>
        <w:t>. Editora Boitempo: 2017.</w:t>
      </w:r>
    </w:p>
    <w:p w14:paraId="44453D9E"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2F59A646"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RAMOS, Flamarion Caldeira. MELO, </w:t>
      </w:r>
      <w:proofErr w:type="spellStart"/>
      <w:r w:rsidRPr="0040766B">
        <w:rPr>
          <w:rFonts w:ascii="Arial" w:eastAsia="Times New Roman" w:hAnsi="Arial" w:cs="Arial"/>
          <w:sz w:val="24"/>
          <w:szCs w:val="24"/>
        </w:rPr>
        <w:t>Rúrion</w:t>
      </w:r>
      <w:proofErr w:type="spellEnd"/>
      <w:r w:rsidRPr="0040766B">
        <w:rPr>
          <w:rFonts w:ascii="Arial" w:eastAsia="Times New Roman" w:hAnsi="Arial" w:cs="Arial"/>
          <w:sz w:val="24"/>
          <w:szCs w:val="24"/>
        </w:rPr>
        <w:t xml:space="preserve">. FRATESCHI, Yara. </w:t>
      </w:r>
      <w:r w:rsidRPr="00785179">
        <w:rPr>
          <w:rFonts w:ascii="Arial" w:eastAsia="Times New Roman" w:hAnsi="Arial" w:cs="Arial"/>
          <w:i/>
          <w:iCs/>
          <w:sz w:val="24"/>
          <w:szCs w:val="24"/>
        </w:rPr>
        <w:t>Manual de filosofia política: para os cursos de teoria do Estado, e ciência política, filosofia e ciências sociais.</w:t>
      </w:r>
      <w:r w:rsidRPr="0040766B">
        <w:rPr>
          <w:rFonts w:ascii="Arial" w:eastAsia="Times New Roman" w:hAnsi="Arial" w:cs="Arial"/>
          <w:sz w:val="24"/>
          <w:szCs w:val="24"/>
        </w:rPr>
        <w:t xml:space="preserve"> São Paulo: Saraiva, 2012.</w:t>
      </w:r>
    </w:p>
    <w:p w14:paraId="1D4C9709" w14:textId="77777777" w:rsidR="00785179" w:rsidRPr="0040766B" w:rsidRDefault="00785179" w:rsidP="00785179">
      <w:pPr>
        <w:tabs>
          <w:tab w:val="left" w:pos="989"/>
        </w:tabs>
        <w:spacing w:after="0" w:line="240" w:lineRule="auto"/>
        <w:ind w:left="851" w:hanging="851"/>
        <w:jc w:val="both"/>
        <w:rPr>
          <w:rFonts w:ascii="Arial" w:eastAsia="Times New Roman" w:hAnsi="Arial" w:cs="Arial"/>
          <w:color w:val="000000"/>
          <w:sz w:val="24"/>
          <w:szCs w:val="24"/>
        </w:rPr>
      </w:pPr>
    </w:p>
    <w:p w14:paraId="1E4AF250"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r w:rsidRPr="0040766B">
        <w:rPr>
          <w:rFonts w:ascii="Arial" w:eastAsia="Times New Roman" w:hAnsi="Arial" w:cs="Arial"/>
          <w:sz w:val="24"/>
          <w:szCs w:val="24"/>
        </w:rPr>
        <w:t xml:space="preserve">YAZBEK, André Constantino. </w:t>
      </w:r>
      <w:r w:rsidRPr="00785179">
        <w:rPr>
          <w:rFonts w:ascii="Arial" w:eastAsia="Times New Roman" w:hAnsi="Arial" w:cs="Arial"/>
          <w:i/>
          <w:iCs/>
          <w:sz w:val="24"/>
          <w:szCs w:val="24"/>
        </w:rPr>
        <w:t>10 Lições de Foucault</w:t>
      </w:r>
      <w:r w:rsidRPr="0040766B">
        <w:rPr>
          <w:rFonts w:ascii="Arial" w:eastAsia="Times New Roman" w:hAnsi="Arial" w:cs="Arial"/>
          <w:sz w:val="24"/>
          <w:szCs w:val="24"/>
        </w:rPr>
        <w:t>. Editora Vozes: Rio de Janeiro, 2014.</w:t>
      </w:r>
    </w:p>
    <w:p w14:paraId="3C3EA9D3" w14:textId="77777777" w:rsidR="00785179" w:rsidRPr="0040766B" w:rsidRDefault="00785179" w:rsidP="00785179">
      <w:pPr>
        <w:tabs>
          <w:tab w:val="left" w:pos="989"/>
        </w:tabs>
        <w:spacing w:after="0" w:line="240" w:lineRule="auto"/>
        <w:ind w:left="851" w:hanging="851"/>
        <w:jc w:val="both"/>
        <w:rPr>
          <w:rFonts w:ascii="Arial" w:eastAsia="Times New Roman" w:hAnsi="Arial" w:cs="Arial"/>
          <w:sz w:val="24"/>
          <w:szCs w:val="24"/>
        </w:rPr>
      </w:pPr>
    </w:p>
    <w:p w14:paraId="4B05D76C" w14:textId="77777777" w:rsidR="00785179" w:rsidRPr="0040766B" w:rsidRDefault="00785179" w:rsidP="00785179">
      <w:pPr>
        <w:tabs>
          <w:tab w:val="left" w:pos="989"/>
        </w:tabs>
        <w:spacing w:after="0" w:line="240" w:lineRule="auto"/>
        <w:ind w:left="851" w:hanging="851"/>
        <w:jc w:val="both"/>
        <w:rPr>
          <w:rFonts w:ascii="Arial" w:eastAsia="Times New Roman" w:hAnsi="Arial" w:cs="Arial"/>
          <w:color w:val="000000"/>
          <w:sz w:val="24"/>
          <w:szCs w:val="24"/>
        </w:rPr>
      </w:pPr>
    </w:p>
    <w:p w14:paraId="5525A61B" w14:textId="77777777" w:rsidR="00785179" w:rsidRPr="00B76E68" w:rsidRDefault="00785179" w:rsidP="00785179">
      <w:pPr>
        <w:pBdr>
          <w:top w:val="nil"/>
          <w:left w:val="nil"/>
          <w:bottom w:val="nil"/>
          <w:right w:val="nil"/>
          <w:between w:val="nil"/>
        </w:pBdr>
        <w:spacing w:after="120" w:line="360" w:lineRule="auto"/>
        <w:ind w:left="851" w:hanging="851"/>
        <w:jc w:val="both"/>
        <w:rPr>
          <w:rFonts w:ascii="Arial" w:hAnsi="Arial" w:cs="Arial"/>
          <w:sz w:val="24"/>
          <w:szCs w:val="24"/>
        </w:rPr>
      </w:pPr>
    </w:p>
    <w:sectPr w:rsidR="00785179" w:rsidRPr="00B76E68" w:rsidSect="00455A9D">
      <w:headerReference w:type="even" r:id="rId10"/>
      <w:headerReference w:type="default" r:id="rId11"/>
      <w:footerReference w:type="even" r:id="rId12"/>
      <w:footerReference w:type="default" r:id="rId13"/>
      <w:headerReference w:type="first" r:id="rId14"/>
      <w:footerReference w:type="first" r:id="rId15"/>
      <w:pgSz w:w="11906" w:h="16838"/>
      <w:pgMar w:top="1418" w:right="1701" w:bottom="1418" w:left="1701" w:header="709" w:footer="709" w:gutter="0"/>
      <w:pgNumType w:start="9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E46663" w14:textId="77777777" w:rsidR="0007459C" w:rsidRDefault="0007459C" w:rsidP="003D3437">
      <w:pPr>
        <w:spacing w:after="0" w:line="240" w:lineRule="auto"/>
      </w:pPr>
      <w:r>
        <w:separator/>
      </w:r>
    </w:p>
  </w:endnote>
  <w:endnote w:type="continuationSeparator" w:id="0">
    <w:p w14:paraId="167726C2" w14:textId="77777777" w:rsidR="0007459C" w:rsidRDefault="0007459C" w:rsidP="003D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688979797"/>
      <w:docPartObj>
        <w:docPartGallery w:val="Page Numbers (Bottom of Page)"/>
        <w:docPartUnique/>
      </w:docPartObj>
    </w:sdtPr>
    <w:sdtContent>
      <w:p w14:paraId="3C6B7C3C" w14:textId="70E72A9C" w:rsidR="00455A9D" w:rsidRDefault="00455A9D" w:rsidP="00C01FD3">
        <w:pPr>
          <w:pStyle w:val="Rodap"/>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174</w:t>
        </w:r>
        <w:r>
          <w:rPr>
            <w:rStyle w:val="Nmerodepgina"/>
          </w:rPr>
          <w:fldChar w:fldCharType="end"/>
        </w:r>
      </w:p>
    </w:sdtContent>
  </w:sdt>
  <w:p w14:paraId="7D727442" w14:textId="30EBB028" w:rsidR="00026B5B" w:rsidRDefault="00026B5B" w:rsidP="00455A9D">
    <w:pPr>
      <w:pStyle w:val="Rodap"/>
      <w:framePr w:wrap="none" w:vAnchor="text" w:hAnchor="margin" w:xAlign="right" w:y="1"/>
      <w:ind w:right="360" w:firstLine="360"/>
      <w:rPr>
        <w:rStyle w:val="Nmerodepgina"/>
      </w:rPr>
    </w:pPr>
  </w:p>
  <w:p w14:paraId="0A9F569D" w14:textId="0DCE91C2" w:rsidR="00F14C53" w:rsidRDefault="00F14C53" w:rsidP="00892D07">
    <w:pPr>
      <w:pStyle w:val="Rodap"/>
      <w:ind w:right="360"/>
      <w:jc w:val="center"/>
    </w:pPr>
    <w:r w:rsidRPr="006F4D08">
      <w:rPr>
        <w:rFonts w:ascii="Arial" w:hAnsi="Arial" w:cs="Arial"/>
        <w:b/>
        <w:bCs/>
        <w:sz w:val="20"/>
        <w:szCs w:val="20"/>
      </w:rPr>
      <w:t>@ Direito e Linguagem,</w:t>
    </w:r>
    <w:r w:rsidRPr="006F4D08">
      <w:rPr>
        <w:rFonts w:ascii="Arial" w:hAnsi="Arial" w:cs="Arial"/>
        <w:sz w:val="20"/>
        <w:szCs w:val="20"/>
        <w:lang w:val="pt-PT"/>
      </w:rPr>
      <w:t xml:space="preserve"> </w:t>
    </w:r>
    <w:r w:rsidR="00322D78">
      <w:rPr>
        <w:rFonts w:ascii="Arial" w:hAnsi="Arial" w:cs="Arial"/>
        <w:sz w:val="20"/>
        <w:szCs w:val="20"/>
        <w:lang w:val="pt-PT"/>
      </w:rPr>
      <w:t>O</w:t>
    </w:r>
    <w:r w:rsidRPr="006F4D08">
      <w:rPr>
        <w:rFonts w:ascii="Arial" w:hAnsi="Arial" w:cs="Arial"/>
        <w:sz w:val="20"/>
        <w:szCs w:val="20"/>
        <w:lang w:val="pt-PT"/>
      </w:rPr>
      <w:t xml:space="preserve">rdinário nº </w:t>
    </w:r>
    <w:r w:rsidR="00322D78">
      <w:rPr>
        <w:rFonts w:ascii="Arial" w:hAnsi="Arial" w:cs="Arial"/>
        <w:sz w:val="20"/>
        <w:szCs w:val="20"/>
        <w:lang w:val="pt-PT"/>
      </w:rPr>
      <w:t>2</w:t>
    </w:r>
    <w:r w:rsidRPr="006F4D08">
      <w:rPr>
        <w:rFonts w:ascii="Arial" w:hAnsi="Arial" w:cs="Arial"/>
        <w:sz w:val="20"/>
        <w:szCs w:val="20"/>
        <w:lang w:val="pt-PT"/>
      </w:rPr>
      <w:t xml:space="preserve">, vol. </w:t>
    </w:r>
    <w:r w:rsidR="00455A9D">
      <w:rPr>
        <w:rFonts w:ascii="Arial" w:hAnsi="Arial" w:cs="Arial"/>
        <w:sz w:val="20"/>
        <w:szCs w:val="20"/>
        <w:lang w:val="pt-PT"/>
      </w:rPr>
      <w:t>6</w:t>
    </w:r>
    <w:r w:rsidRPr="006F4D08">
      <w:rPr>
        <w:rFonts w:ascii="Arial" w:hAnsi="Arial" w:cs="Arial"/>
        <w:sz w:val="20"/>
        <w:szCs w:val="20"/>
      </w:rPr>
      <w:t>, DOI</w:t>
    </w:r>
    <w:r w:rsidR="00CF373B">
      <w:rPr>
        <w:rFonts w:ascii="Arial" w:hAnsi="Arial" w:cs="Arial"/>
        <w:sz w:val="20"/>
        <w:szCs w:val="20"/>
      </w:rPr>
      <w:t xml:space="preserve"> </w:t>
    </w:r>
    <w:r w:rsidR="00CF373B" w:rsidRPr="00CF373B">
      <w:rPr>
        <w:rFonts w:ascii="Arial" w:hAnsi="Arial" w:cs="Arial"/>
        <w:sz w:val="20"/>
        <w:szCs w:val="20"/>
        <w:shd w:val="clear" w:color="auto" w:fill="FFFFFF"/>
      </w:rPr>
      <w:t>10.5281/zenodo.21708865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597953207"/>
      <w:docPartObj>
        <w:docPartGallery w:val="Page Numbers (Bottom of Page)"/>
        <w:docPartUnique/>
      </w:docPartObj>
    </w:sdtPr>
    <w:sdtContent>
      <w:p w14:paraId="6F5A899F" w14:textId="33BA4BCC" w:rsidR="00455A9D" w:rsidRDefault="00455A9D" w:rsidP="00C01FD3">
        <w:pPr>
          <w:pStyle w:val="Rodap"/>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173</w:t>
        </w:r>
        <w:r>
          <w:rPr>
            <w:rStyle w:val="Nmerodepgina"/>
          </w:rPr>
          <w:fldChar w:fldCharType="end"/>
        </w:r>
      </w:p>
    </w:sdtContent>
  </w:sdt>
  <w:p w14:paraId="60A2608C" w14:textId="57861AA2" w:rsidR="00026B5B" w:rsidRDefault="00026B5B" w:rsidP="00455A9D">
    <w:pPr>
      <w:pStyle w:val="Rodap"/>
      <w:framePr w:wrap="none" w:vAnchor="text" w:hAnchor="margin" w:xAlign="right" w:y="1"/>
      <w:ind w:right="360" w:firstLine="360"/>
      <w:rPr>
        <w:rStyle w:val="Nmerodepgina"/>
      </w:rPr>
    </w:pPr>
  </w:p>
  <w:p w14:paraId="4D9CD9C6" w14:textId="77777777" w:rsidR="00892D07" w:rsidRDefault="00892D07" w:rsidP="00892D07">
    <w:pPr>
      <w:pStyle w:val="Rodap"/>
      <w:ind w:right="360"/>
      <w:jc w:val="center"/>
      <w:rPr>
        <w:rFonts w:ascii="Arial" w:hAnsi="Arial" w:cs="Arial"/>
        <w:b/>
        <w:bCs/>
        <w:sz w:val="20"/>
        <w:szCs w:val="20"/>
      </w:rPr>
    </w:pPr>
  </w:p>
  <w:p w14:paraId="7316E4AB" w14:textId="472E75F0" w:rsidR="00F04D5E" w:rsidRDefault="00F14C53" w:rsidP="00892D07">
    <w:pPr>
      <w:pStyle w:val="Rodap"/>
      <w:ind w:right="360"/>
      <w:jc w:val="center"/>
    </w:pPr>
    <w:r w:rsidRPr="006F4D08">
      <w:rPr>
        <w:rFonts w:ascii="Arial" w:hAnsi="Arial" w:cs="Arial"/>
        <w:b/>
        <w:bCs/>
        <w:sz w:val="20"/>
        <w:szCs w:val="20"/>
      </w:rPr>
      <w:t>@ Direito e Linguagem,</w:t>
    </w:r>
    <w:r w:rsidRPr="006F4D08">
      <w:rPr>
        <w:rFonts w:ascii="Arial" w:hAnsi="Arial" w:cs="Arial"/>
        <w:sz w:val="20"/>
        <w:szCs w:val="20"/>
        <w:lang w:val="pt-PT"/>
      </w:rPr>
      <w:t xml:space="preserve"> </w:t>
    </w:r>
    <w:r w:rsidR="00322D78">
      <w:rPr>
        <w:rFonts w:ascii="Arial" w:hAnsi="Arial" w:cs="Arial"/>
        <w:sz w:val="20"/>
        <w:szCs w:val="20"/>
        <w:lang w:val="pt-PT"/>
      </w:rPr>
      <w:t>O</w:t>
    </w:r>
    <w:r w:rsidRPr="006F4D08">
      <w:rPr>
        <w:rFonts w:ascii="Arial" w:hAnsi="Arial" w:cs="Arial"/>
        <w:sz w:val="20"/>
        <w:szCs w:val="20"/>
        <w:lang w:val="pt-PT"/>
      </w:rPr>
      <w:t xml:space="preserve">rdinário nº </w:t>
    </w:r>
    <w:r w:rsidR="00455A9D">
      <w:rPr>
        <w:rFonts w:ascii="Arial" w:hAnsi="Arial" w:cs="Arial"/>
        <w:sz w:val="20"/>
        <w:szCs w:val="20"/>
        <w:lang w:val="pt-PT"/>
      </w:rPr>
      <w:t>2</w:t>
    </w:r>
    <w:r w:rsidRPr="006F4D08">
      <w:rPr>
        <w:rFonts w:ascii="Arial" w:hAnsi="Arial" w:cs="Arial"/>
        <w:sz w:val="20"/>
        <w:szCs w:val="20"/>
        <w:lang w:val="pt-PT"/>
      </w:rPr>
      <w:t xml:space="preserve">, vol. </w:t>
    </w:r>
    <w:r w:rsidR="00455A9D">
      <w:rPr>
        <w:rFonts w:ascii="Arial" w:hAnsi="Arial" w:cs="Arial"/>
        <w:sz w:val="20"/>
        <w:szCs w:val="20"/>
        <w:lang w:val="pt-PT"/>
      </w:rPr>
      <w:t>6</w:t>
    </w:r>
    <w:r w:rsidRPr="006F4D08">
      <w:rPr>
        <w:rFonts w:ascii="Arial" w:hAnsi="Arial" w:cs="Arial"/>
        <w:sz w:val="20"/>
        <w:szCs w:val="20"/>
      </w:rPr>
      <w:t>, DOI</w:t>
    </w:r>
    <w:r w:rsidR="00CF373B">
      <w:rPr>
        <w:rFonts w:ascii="Arial" w:hAnsi="Arial" w:cs="Arial"/>
        <w:sz w:val="20"/>
        <w:szCs w:val="20"/>
      </w:rPr>
      <w:t xml:space="preserve"> </w:t>
    </w:r>
    <w:r w:rsidR="00CF373B" w:rsidRPr="00CF373B">
      <w:rPr>
        <w:rFonts w:ascii="Arial" w:hAnsi="Arial" w:cs="Arial"/>
        <w:sz w:val="20"/>
        <w:szCs w:val="20"/>
        <w:shd w:val="clear" w:color="auto" w:fill="FFFFFF"/>
      </w:rPr>
      <w:t>10.5281/zenodo.21708865</w:t>
    </w:r>
  </w:p>
  <w:p w14:paraId="504F608B" w14:textId="77777777" w:rsidR="00F04D5E" w:rsidRDefault="00F04D5E" w:rsidP="00FE346D">
    <w:pPr>
      <w:pStyle w:val="Rodap"/>
      <w:tabs>
        <w:tab w:val="left" w:pos="771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ED71EB" w14:textId="77777777" w:rsidR="00AF53E2" w:rsidRDefault="00AF53E2" w:rsidP="00761E3F">
    <w:pPr>
      <w:pStyle w:val="Rodap"/>
      <w:spacing w:after="0" w:line="240" w:lineRule="auto"/>
      <w:rPr>
        <w:rFonts w:ascii="Verdana" w:hAnsi="Verdana"/>
        <w:sz w:val="18"/>
        <w:szCs w:val="18"/>
        <w:lang w:val="es-ES_tradnl"/>
      </w:rPr>
    </w:pPr>
  </w:p>
  <w:p w14:paraId="7CC4C1AB" w14:textId="6EEEE38C" w:rsidR="00761E3F" w:rsidRPr="00053E7A" w:rsidRDefault="007051DD" w:rsidP="00F14C53">
    <w:pPr>
      <w:pStyle w:val="Rodap"/>
      <w:contextualSpacing/>
      <w:jc w:val="right"/>
      <w:rPr>
        <w:rFonts w:ascii="Arial" w:hAnsi="Arial" w:cs="Arial"/>
        <w:sz w:val="20"/>
        <w:szCs w:val="20"/>
        <w:lang w:val="es-ES_tradnl"/>
      </w:rPr>
    </w:pPr>
    <w:r>
      <w:rPr>
        <w:rFonts w:ascii="Arial" w:hAnsi="Arial" w:cs="Arial"/>
        <w:sz w:val="20"/>
        <w:szCs w:val="20"/>
        <w:lang w:val="es-ES_tradnl"/>
      </w:rPr>
      <w:t>Admitido</w:t>
    </w:r>
    <w:r w:rsidR="00761E3F" w:rsidRPr="00053E7A">
      <w:rPr>
        <w:rFonts w:ascii="Arial" w:hAnsi="Arial" w:cs="Arial"/>
        <w:sz w:val="20"/>
        <w:szCs w:val="20"/>
        <w:lang w:val="es-ES_tradnl"/>
      </w:rPr>
      <w:t xml:space="preserve">: </w:t>
    </w:r>
    <w:r w:rsidR="00F44328">
      <w:rPr>
        <w:rFonts w:ascii="Arial" w:hAnsi="Arial" w:cs="Arial"/>
        <w:sz w:val="20"/>
        <w:szCs w:val="20"/>
        <w:lang w:val="es-ES_tradnl"/>
      </w:rPr>
      <w:t>30</w:t>
    </w:r>
    <w:r w:rsidR="00761E3F" w:rsidRPr="00053E7A">
      <w:rPr>
        <w:rFonts w:ascii="Arial" w:hAnsi="Arial" w:cs="Arial"/>
        <w:sz w:val="20"/>
        <w:szCs w:val="20"/>
        <w:lang w:val="es-ES_tradnl"/>
      </w:rPr>
      <w:t>/</w:t>
    </w:r>
    <w:r w:rsidR="00F44328">
      <w:rPr>
        <w:rFonts w:ascii="Arial" w:hAnsi="Arial" w:cs="Arial"/>
        <w:sz w:val="20"/>
        <w:szCs w:val="20"/>
        <w:lang w:val="es-ES_tradnl"/>
      </w:rPr>
      <w:t>07</w:t>
    </w:r>
    <w:r w:rsidR="00761E3F" w:rsidRPr="00053E7A">
      <w:rPr>
        <w:rFonts w:ascii="Arial" w:hAnsi="Arial" w:cs="Arial"/>
        <w:sz w:val="20"/>
        <w:szCs w:val="20"/>
        <w:lang w:val="es-ES_tradnl"/>
      </w:rPr>
      <w:t>/</w:t>
    </w:r>
    <w:r w:rsidR="00F44328">
      <w:rPr>
        <w:rFonts w:ascii="Arial" w:hAnsi="Arial" w:cs="Arial"/>
        <w:sz w:val="20"/>
        <w:szCs w:val="20"/>
        <w:lang w:val="es-ES_tradnl"/>
      </w:rPr>
      <w:t>2026</w:t>
    </w:r>
  </w:p>
  <w:p w14:paraId="2346A6EC" w14:textId="651A44DD" w:rsidR="00DC5AA2" w:rsidRPr="00053E7A" w:rsidRDefault="00DC5AA2">
    <w:pPr>
      <w:pStyle w:val="Rodap"/>
      <w:contextualSpacing/>
      <w:rPr>
        <w:rFonts w:ascii="Arial" w:hAnsi="Arial" w:cs="Arial"/>
        <w:sz w:val="20"/>
        <w:szCs w:val="20"/>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DC3B22" w14:textId="77777777" w:rsidR="0007459C" w:rsidRDefault="0007459C" w:rsidP="003D3437">
      <w:pPr>
        <w:spacing w:after="0" w:line="240" w:lineRule="auto"/>
      </w:pPr>
      <w:r>
        <w:separator/>
      </w:r>
    </w:p>
  </w:footnote>
  <w:footnote w:type="continuationSeparator" w:id="0">
    <w:p w14:paraId="6CD0688A" w14:textId="77777777" w:rsidR="0007459C" w:rsidRDefault="0007459C" w:rsidP="003D3437">
      <w:pPr>
        <w:spacing w:after="0" w:line="240" w:lineRule="auto"/>
      </w:pPr>
      <w:r>
        <w:continuationSeparator/>
      </w:r>
    </w:p>
  </w:footnote>
  <w:footnote w:id="1">
    <w:p w14:paraId="6D54F244" w14:textId="30FE2F6E" w:rsidR="00094B1A" w:rsidRPr="00094B1A" w:rsidRDefault="002C413A" w:rsidP="00094B1A">
      <w:pPr>
        <w:pStyle w:val="Textodenotaderodap"/>
        <w:spacing w:after="0" w:line="240" w:lineRule="auto"/>
        <w:contextualSpacing/>
        <w:jc w:val="both"/>
        <w:rPr>
          <w:rFonts w:ascii="Arial" w:hAnsi="Arial" w:cs="Arial"/>
        </w:rPr>
      </w:pPr>
      <w:r w:rsidRPr="00094B1A">
        <w:rPr>
          <w:rStyle w:val="Refdenotaderodap"/>
          <w:rFonts w:ascii="Arial" w:hAnsi="Arial" w:cs="Arial"/>
        </w:rPr>
        <w:footnoteRef/>
      </w:r>
      <w:r w:rsidR="00094B1A" w:rsidRPr="00094B1A">
        <w:rPr>
          <w:rFonts w:ascii="Arial" w:hAnsi="Arial" w:cs="Arial"/>
        </w:rPr>
        <w:t>Marcio Bonini Notari, Professor do Curso de Direito da Universidade Federal de Rondônia</w:t>
      </w:r>
    </w:p>
    <w:p w14:paraId="67DB684D" w14:textId="6EDF040D" w:rsidR="002C413A" w:rsidRPr="00094B1A" w:rsidRDefault="00094B1A" w:rsidP="00094B1A">
      <w:pPr>
        <w:pStyle w:val="Textodenotaderodap"/>
        <w:spacing w:after="0" w:line="240" w:lineRule="auto"/>
        <w:contextualSpacing/>
        <w:jc w:val="both"/>
        <w:rPr>
          <w:rFonts w:ascii="Arial" w:hAnsi="Arial" w:cs="Arial"/>
        </w:rPr>
      </w:pPr>
      <w:r w:rsidRPr="00094B1A">
        <w:rPr>
          <w:rFonts w:ascii="Arial" w:hAnsi="Arial" w:cs="Arial"/>
        </w:rPr>
        <w:t>Doutor em Ciências Criminais pela Pontifícia Universidade Católica do Rio Grande do Sul (PUC/RS). Me. em Direitos Sociais e Políticas Públicas pela Universidade de Santa Cruz do Sul.</w:t>
      </w:r>
    </w:p>
  </w:footnote>
  <w:footnote w:id="2">
    <w:p w14:paraId="11EBF724" w14:textId="061982A5" w:rsidR="00094B1A" w:rsidRDefault="00094B1A" w:rsidP="00094B1A">
      <w:pPr>
        <w:pStyle w:val="Textodenotaderodap"/>
        <w:spacing w:line="240" w:lineRule="auto"/>
        <w:jc w:val="both"/>
      </w:pPr>
      <w:r w:rsidRPr="00094B1A">
        <w:rPr>
          <w:rStyle w:val="Refdenotaderodap"/>
          <w:rFonts w:ascii="Arial" w:hAnsi="Arial" w:cs="Arial"/>
        </w:rPr>
        <w:footnoteRef/>
      </w:r>
      <w:r w:rsidRPr="00094B1A">
        <w:rPr>
          <w:rFonts w:ascii="Arial" w:hAnsi="Arial" w:cs="Arial"/>
        </w:rPr>
        <w:t xml:space="preserve">Sarah Gonçalves Ribeiro, mestre pelo IDP e doutoranda pela </w:t>
      </w:r>
      <w:r w:rsidRPr="00094B1A">
        <w:rPr>
          <w:rFonts w:ascii="Arial" w:hAnsi="Arial" w:cs="Arial"/>
        </w:rPr>
        <w:t>Pontifícia Universidade Católica do Rio Grande do Sul</w:t>
      </w:r>
      <w:r w:rsidRPr="00094B1A">
        <w:rPr>
          <w:rFonts w:ascii="Arial" w:hAnsi="Arial" w:cs="Arial"/>
        </w:rPr>
        <w:t xml:space="preserve"> (Bolsista pró </w:t>
      </w:r>
      <w:proofErr w:type="spellStart"/>
      <w:r w:rsidRPr="00094B1A">
        <w:rPr>
          <w:rFonts w:ascii="Arial" w:hAnsi="Arial" w:cs="Arial"/>
        </w:rPr>
        <w:t>strict</w:t>
      </w:r>
      <w:proofErr w:type="spellEnd"/>
      <w:r w:rsidRPr="00094B1A">
        <w:rPr>
          <w:rFonts w:ascii="Arial" w:hAnsi="Arial" w:cs="Arial"/>
        </w:rPr>
        <w:t xml:space="preserve"> da PUC RS)</w:t>
      </w:r>
      <w:r w:rsidR="00785179">
        <w:rPr>
          <w:rFonts w:ascii="Arial" w:hAnsi="Arial" w:cs="Arial"/>
        </w:rPr>
        <w:t xml:space="preserve">, Editora-Chefe da Revista Direito e Linguagem. </w:t>
      </w:r>
    </w:p>
  </w:footnote>
  <w:footnote w:id="3">
    <w:p w14:paraId="0E70D898"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A História da Sexualidade I. A vontade do Saber. Tradução de Maria Thereza da Costa Albuquerque e J. A. Guilhon Albuquerque 13.a Edição. Rio de Janeiro, Edições Graal, 1988, p.133. </w:t>
      </w:r>
    </w:p>
  </w:footnote>
  <w:footnote w:id="4">
    <w:p w14:paraId="1A31EDC0"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Grosso modo, o que se pode com muita cautela delimitar como o método genealógico empregado por Foucault é tributário de Nietzsche. Num estudo de Foucault (1979), “Nietzsche, a genealogia e a história”, reunido na coletânea intitulada Microfísica do poder, entende-se melhor a necessidade de o filósofo compreender a história dilapidando-a. À luz do pensamento de Nietzsche, Foucault questiona a possibilidade de se estabelecer um registro sucessivo de fatos cronologicamente ordenados, isto é, dotado de uma pretensa continuidade. RAMOS, Flamarion Caldeira. MELO, </w:t>
      </w:r>
      <w:proofErr w:type="spellStart"/>
      <w:r>
        <w:rPr>
          <w:rFonts w:ascii="Times New Roman" w:eastAsia="Times New Roman" w:hAnsi="Times New Roman" w:cs="Times New Roman"/>
          <w:color w:val="000000"/>
          <w:sz w:val="20"/>
          <w:szCs w:val="20"/>
        </w:rPr>
        <w:t>Rúrion</w:t>
      </w:r>
      <w:proofErr w:type="spellEnd"/>
      <w:r>
        <w:rPr>
          <w:rFonts w:ascii="Times New Roman" w:eastAsia="Times New Roman" w:hAnsi="Times New Roman" w:cs="Times New Roman"/>
          <w:color w:val="000000"/>
          <w:sz w:val="20"/>
          <w:szCs w:val="20"/>
        </w:rPr>
        <w:t xml:space="preserve">. FRATESCHI, Yara. Manual de filosofia </w:t>
      </w:r>
      <w:proofErr w:type="spellStart"/>
      <w:r>
        <w:rPr>
          <w:rFonts w:ascii="Times New Roman" w:eastAsia="Times New Roman" w:hAnsi="Times New Roman" w:cs="Times New Roman"/>
          <w:color w:val="000000"/>
          <w:sz w:val="20"/>
          <w:szCs w:val="20"/>
        </w:rPr>
        <w:t>política:para</w:t>
      </w:r>
      <w:proofErr w:type="spellEnd"/>
      <w:r>
        <w:rPr>
          <w:rFonts w:ascii="Times New Roman" w:eastAsia="Times New Roman" w:hAnsi="Times New Roman" w:cs="Times New Roman"/>
          <w:color w:val="000000"/>
          <w:sz w:val="20"/>
          <w:szCs w:val="20"/>
        </w:rPr>
        <w:t xml:space="preserve"> os cursos de teoria do Estado, e ciência política, filosofia e ciências sociais-- São Paulo: Saraiva, 2012, p.263.</w:t>
      </w:r>
    </w:p>
  </w:footnote>
  <w:footnote w:id="5">
    <w:p w14:paraId="087AB0E0"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YAZBEK, André Constantino. 10 Lições de Foucault. Editora Vozes: Rio de Janeiro, 2014, p. 92-93.</w:t>
      </w:r>
    </w:p>
  </w:footnote>
  <w:footnote w:id="6">
    <w:p w14:paraId="65E037D9"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Em Vigiar e Punir o que eu quis mostrar foi como, a partir dos séculos XVII e XVIII, houve verdadeiramente um desbloqueio tecnológico da produtividade do poder. As monarquias da Época Clássica não só desenvolveram grandes aparelhos de Estado − exército, polícia, administração local, mas instauraram o que se poderia chamar uma nova "economia" do poder, isto é, procedimentos que permitem fazer circular os efeitos de poder de forma ao mesmo tempo continua, ininterrupta, adaptada e "individualizada" em todo o corpo social. FOUCAULT, Michel. Microfísica do Poder. Disponível em: </w:t>
      </w:r>
      <w:hyperlink r:id="rId1">
        <w:r>
          <w:rPr>
            <w:rFonts w:ascii="Times New Roman" w:eastAsia="Times New Roman" w:hAnsi="Times New Roman" w:cs="Times New Roman"/>
            <w:color w:val="000000"/>
            <w:sz w:val="20"/>
            <w:szCs w:val="20"/>
            <w:u w:val="single"/>
          </w:rPr>
          <w:t>https://www.nodo50.org/insurgentes/biblioteca/A_Microfisica_do_Poder_-_Michel_Foulcault.pdf</w:t>
        </w:r>
      </w:hyperlink>
      <w:r>
        <w:rPr>
          <w:rFonts w:ascii="Times New Roman" w:eastAsia="Times New Roman" w:hAnsi="Times New Roman" w:cs="Times New Roman"/>
          <w:color w:val="000000"/>
          <w:sz w:val="20"/>
          <w:szCs w:val="20"/>
        </w:rPr>
        <w:t xml:space="preserve">. Acesso em 09 de junho de 2024. </w:t>
      </w:r>
    </w:p>
  </w:footnote>
  <w:footnote w:id="7">
    <w:p w14:paraId="13F6C71A"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EMPOLI, Giuliano. Os Engenheiros do Caos. Tradução Arnaldo Bloch. 1. ed. São Paulo: Vestígio, 2019, p. 25. A Expressão </w:t>
      </w:r>
      <w:proofErr w:type="spellStart"/>
      <w:r>
        <w:rPr>
          <w:rFonts w:ascii="Times New Roman" w:eastAsia="Times New Roman" w:hAnsi="Times New Roman" w:cs="Times New Roman"/>
          <w:color w:val="000000"/>
          <w:sz w:val="20"/>
          <w:szCs w:val="20"/>
        </w:rPr>
        <w:t>tecnopopulismo</w:t>
      </w:r>
      <w:proofErr w:type="spellEnd"/>
      <w:r>
        <w:rPr>
          <w:rFonts w:ascii="Times New Roman" w:eastAsia="Times New Roman" w:hAnsi="Times New Roman" w:cs="Times New Roman"/>
          <w:color w:val="000000"/>
          <w:sz w:val="20"/>
          <w:szCs w:val="20"/>
        </w:rPr>
        <w:t xml:space="preserve"> pós-ideológico surge fundada não em ideias, mas em algoritmos disponibilizados pelos engenheiros do caos. Não se trata, como em outros países, de homens políticos que empregam técnicos, mas de técnicos que tomam diretamente as rédeas do movimento, fundam partidos e escolhem os candidatos mais aptos a encarnar sua visão, até assumir o controle do governo de toda a nação.</w:t>
      </w:r>
    </w:p>
  </w:footnote>
  <w:footnote w:id="8">
    <w:p w14:paraId="7D40F168"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GUTING, Gary. Foucault: Uma brevíssima introdução. Tradução: Fernando Santos. São Paulo: Editora Unesp, 2021, p. 19-21. </w:t>
      </w:r>
    </w:p>
    <w:bookmarkStart w:id="2" w:name="_bx2u3obmn5vk" w:colFirst="0" w:colLast="0"/>
    <w:bookmarkEnd w:id="2"/>
  </w:footnote>
  <w:footnote w:id="9">
    <w:p w14:paraId="3F7A0F21"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3" w:name="_bx2u3obmn5vk" w:colFirst="0" w:colLast="0"/>
      <w:bookmarkEnd w:id="3"/>
      <w:r>
        <w:rPr>
          <w:vertAlign w:val="superscript"/>
        </w:rPr>
        <w:footnoteRef/>
      </w:r>
      <w:r>
        <w:rPr>
          <w:rFonts w:ascii="Times New Roman" w:eastAsia="Times New Roman" w:hAnsi="Times New Roman" w:cs="Times New Roman"/>
          <w:color w:val="000000"/>
          <w:sz w:val="20"/>
          <w:szCs w:val="20"/>
        </w:rPr>
        <w:t xml:space="preserve"> BITTAR, Eduardo Carlos Bianca. ALMEIDA, Guilherme Assis de Almeida. Curso de filosofia do direito. – 15. ed., rev., atual. </w:t>
      </w:r>
      <w:proofErr w:type="spellStart"/>
      <w:r>
        <w:rPr>
          <w:rFonts w:ascii="Times New Roman" w:eastAsia="Times New Roman" w:hAnsi="Times New Roman" w:cs="Times New Roman"/>
          <w:color w:val="000000"/>
          <w:sz w:val="20"/>
          <w:szCs w:val="20"/>
        </w:rPr>
        <w:t>eampl</w:t>
      </w:r>
      <w:proofErr w:type="spellEnd"/>
      <w:r>
        <w:rPr>
          <w:rFonts w:ascii="Times New Roman" w:eastAsia="Times New Roman" w:hAnsi="Times New Roman" w:cs="Times New Roman"/>
          <w:color w:val="000000"/>
          <w:sz w:val="20"/>
          <w:szCs w:val="20"/>
        </w:rPr>
        <w:t xml:space="preserve">. –São Paulo: Atlas, 2021, p. 563. </w:t>
      </w:r>
    </w:p>
  </w:footnote>
  <w:footnote w:id="10">
    <w:p w14:paraId="48A331A4"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MASCARO, Alysson Leandro. Filosofia do direito. – 8. ed. – São Paulo: Atlas, 2021, p. 515. </w:t>
      </w:r>
    </w:p>
  </w:footnote>
  <w:footnote w:id="11">
    <w:p w14:paraId="37B43373"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A verdade e as formas jurídicas. (tradução Roberto Cabral de Melo Machado e Eduardo Jardim Morais, supervisão final do texto Léa Porto de Abreu Novaes. </w:t>
      </w:r>
      <w:proofErr w:type="spellStart"/>
      <w:r>
        <w:rPr>
          <w:rFonts w:ascii="Times New Roman" w:eastAsia="Times New Roman" w:hAnsi="Times New Roman" w:cs="Times New Roman"/>
          <w:color w:val="000000"/>
          <w:sz w:val="20"/>
          <w:szCs w:val="20"/>
        </w:rPr>
        <w:t>etal</w:t>
      </w:r>
      <w:proofErr w:type="spellEnd"/>
      <w:r>
        <w:rPr>
          <w:rFonts w:ascii="Times New Roman" w:eastAsia="Times New Roman" w:hAnsi="Times New Roman" w:cs="Times New Roman"/>
          <w:color w:val="000000"/>
          <w:sz w:val="20"/>
          <w:szCs w:val="20"/>
        </w:rPr>
        <w:t xml:space="preserve">. J. Rio de Janeiro: NAU Editora, 2002, p. 114. </w:t>
      </w:r>
    </w:p>
  </w:footnote>
  <w:footnote w:id="12">
    <w:p w14:paraId="17269893" w14:textId="77777777" w:rsidR="00F44328" w:rsidRDefault="00F44328" w:rsidP="00F4432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Vigiar e punir: nascimento da prisão; tradução de Raquel Ramalhete. Petrópolis, Vozes, 1987, p.31-32.</w:t>
      </w:r>
    </w:p>
  </w:footnote>
  <w:footnote w:id="13">
    <w:p w14:paraId="3EB7F20E"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FOUCAULT, Michel. Microfísica do Poder. </w:t>
      </w:r>
      <w:r>
        <w:rPr>
          <w:rFonts w:ascii="Calibri" w:eastAsia="Calibri" w:hAnsi="Calibri" w:cs="Calibri"/>
          <w:color w:val="000000"/>
          <w:sz w:val="20"/>
          <w:szCs w:val="20"/>
        </w:rPr>
        <w:t>Organização</w:t>
      </w:r>
      <w:r>
        <w:rPr>
          <w:rFonts w:ascii="Times New Roman" w:eastAsia="Times New Roman" w:hAnsi="Times New Roman" w:cs="Times New Roman"/>
          <w:color w:val="000000"/>
          <w:sz w:val="20"/>
          <w:szCs w:val="20"/>
        </w:rPr>
        <w:t xml:space="preserve">, introdução e Revisão Técnica de Roberto Machado Disponível em: </w:t>
      </w:r>
      <w:hyperlink r:id="rId2">
        <w:r>
          <w:rPr>
            <w:rFonts w:ascii="Times New Roman" w:eastAsia="Times New Roman" w:hAnsi="Times New Roman" w:cs="Times New Roman"/>
            <w:color w:val="000000"/>
            <w:sz w:val="20"/>
            <w:szCs w:val="20"/>
            <w:u w:val="single"/>
          </w:rPr>
          <w:t>https://www.nodo50.org/insurgentes/biblioteca/A_Microfisica_do_Poder_-_Michel_Foulcault.pdf</w:t>
        </w:r>
      </w:hyperlink>
      <w:r>
        <w:rPr>
          <w:rFonts w:ascii="Times New Roman" w:eastAsia="Times New Roman" w:hAnsi="Times New Roman" w:cs="Times New Roman"/>
          <w:color w:val="000000"/>
          <w:sz w:val="20"/>
          <w:szCs w:val="20"/>
        </w:rPr>
        <w:t>. Acesso em 09 de junho de 2024</w:t>
      </w:r>
    </w:p>
  </w:footnote>
  <w:footnote w:id="14">
    <w:p w14:paraId="31CDD4D5"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FONSECA, Márcio Alves da. O direito nos jogos. Entre a lei a e norma. SILVA, Felipe Gonçalves. Manual de sociologia jurídica. – 3. ed. – São Paulo : Saraiva Educação, 2019, Et al, p. 144-146.</w:t>
      </w:r>
    </w:p>
  </w:footnote>
  <w:footnote w:id="15">
    <w:p w14:paraId="406ACFBD"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w:t>
      </w:r>
      <w:proofErr w:type="spellStart"/>
      <w:r>
        <w:rPr>
          <w:rFonts w:ascii="Times New Roman" w:eastAsia="Times New Roman" w:hAnsi="Times New Roman" w:cs="Times New Roman"/>
          <w:color w:val="000000"/>
          <w:sz w:val="20"/>
          <w:szCs w:val="20"/>
        </w:rPr>
        <w:t>Seguridad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territorio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población</w:t>
      </w:r>
      <w:proofErr w:type="spellEnd"/>
      <w:r>
        <w:rPr>
          <w:rFonts w:ascii="Times New Roman" w:eastAsia="Times New Roman" w:hAnsi="Times New Roman" w:cs="Times New Roman"/>
          <w:color w:val="000000"/>
          <w:sz w:val="20"/>
          <w:szCs w:val="20"/>
        </w:rPr>
        <w:t xml:space="preserve">: Curso </w:t>
      </w:r>
      <w:proofErr w:type="spellStart"/>
      <w:r>
        <w:rPr>
          <w:rFonts w:ascii="Times New Roman" w:eastAsia="Times New Roman" w:hAnsi="Times New Roman" w:cs="Times New Roman"/>
          <w:color w:val="000000"/>
          <w:sz w:val="20"/>
          <w:szCs w:val="20"/>
        </w:rPr>
        <w:t>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Collège</w:t>
      </w:r>
      <w:proofErr w:type="spellEnd"/>
      <w:r>
        <w:rPr>
          <w:rFonts w:ascii="Times New Roman" w:eastAsia="Times New Roman" w:hAnsi="Times New Roman" w:cs="Times New Roman"/>
          <w:color w:val="000000"/>
          <w:sz w:val="20"/>
          <w:szCs w:val="20"/>
        </w:rPr>
        <w:t xml:space="preserve"> de France: 1977-1978 -Ia ed. - Buenos Aires: Fondo de Cultura Económica, 2006, p.429</w:t>
      </w:r>
    </w:p>
  </w:footnote>
  <w:footnote w:id="16">
    <w:p w14:paraId="5CB04FC3"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FOUCALT, Michel. Nascimento da </w:t>
      </w:r>
      <w:proofErr w:type="spellStart"/>
      <w:r>
        <w:rPr>
          <w:rFonts w:ascii="Times New Roman" w:eastAsia="Times New Roman" w:hAnsi="Times New Roman" w:cs="Times New Roman"/>
          <w:color w:val="000000"/>
          <w:sz w:val="20"/>
          <w:szCs w:val="20"/>
        </w:rPr>
        <w:t>biopolitica</w:t>
      </w:r>
      <w:proofErr w:type="spellEnd"/>
      <w:r>
        <w:rPr>
          <w:rFonts w:ascii="Times New Roman" w:eastAsia="Times New Roman" w:hAnsi="Times New Roman" w:cs="Times New Roman"/>
          <w:color w:val="000000"/>
          <w:sz w:val="20"/>
          <w:szCs w:val="20"/>
        </w:rPr>
        <w:t xml:space="preserve">. Curso dado no </w:t>
      </w:r>
      <w:proofErr w:type="spellStart"/>
      <w:r>
        <w:rPr>
          <w:rFonts w:ascii="Times New Roman" w:eastAsia="Times New Roman" w:hAnsi="Times New Roman" w:cs="Times New Roman"/>
          <w:color w:val="000000"/>
          <w:sz w:val="20"/>
          <w:szCs w:val="20"/>
        </w:rPr>
        <w:t>College</w:t>
      </w:r>
      <w:proofErr w:type="spellEnd"/>
      <w:r>
        <w:rPr>
          <w:rFonts w:ascii="Times New Roman" w:eastAsia="Times New Roman" w:hAnsi="Times New Roman" w:cs="Times New Roman"/>
          <w:color w:val="000000"/>
          <w:sz w:val="20"/>
          <w:szCs w:val="20"/>
        </w:rPr>
        <w:t xml:space="preserve"> de France- tradução: Eduardo Brandão; revisão da tradução Claudia Berliner. - São Paulo: Martins Fontes, 2008, p. 06.</w:t>
      </w:r>
    </w:p>
  </w:footnote>
  <w:footnote w:id="17">
    <w:p w14:paraId="72F0DE54"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MARX, Karl. ENGLES, Friedrich. Manifesto do Partido Comunista. Expressão Popular, 2008.</w:t>
      </w:r>
    </w:p>
  </w:footnote>
  <w:footnote w:id="18">
    <w:p w14:paraId="1D8E2B56"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CHIGNOLA, Sandro. Foucault além de Foucault: uma política da filosofia. Tradução, notas e revisão técnica Augusto Jobim do Amaral (coord.), Evandro </w:t>
      </w:r>
      <w:proofErr w:type="spellStart"/>
      <w:r>
        <w:rPr>
          <w:rFonts w:ascii="Times New Roman" w:eastAsia="Times New Roman" w:hAnsi="Times New Roman" w:cs="Times New Roman"/>
          <w:color w:val="000000"/>
          <w:sz w:val="20"/>
          <w:szCs w:val="20"/>
        </w:rPr>
        <w:t>Pontel</w:t>
      </w:r>
      <w:proofErr w:type="spellEnd"/>
      <w:r>
        <w:rPr>
          <w:rFonts w:ascii="Times New Roman" w:eastAsia="Times New Roman" w:hAnsi="Times New Roman" w:cs="Times New Roman"/>
          <w:color w:val="000000"/>
          <w:sz w:val="20"/>
          <w:szCs w:val="20"/>
        </w:rPr>
        <w:t xml:space="preserve">, André Rocha Sampaio. – Porto Alegre: Criação Humana, 2020, p. 46. </w:t>
      </w:r>
    </w:p>
  </w:footnote>
  <w:footnote w:id="19">
    <w:p w14:paraId="72214E97" w14:textId="77777777" w:rsidR="00F44328" w:rsidRDefault="00F44328" w:rsidP="00F4432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FOUCAULT, Michel: As Palavras e as Coisas [recurso eletrônico] Organização: </w:t>
      </w:r>
      <w:proofErr w:type="spellStart"/>
      <w:r>
        <w:rPr>
          <w:rFonts w:ascii="Times New Roman" w:eastAsia="Times New Roman" w:hAnsi="Times New Roman" w:cs="Times New Roman"/>
          <w:color w:val="000000"/>
          <w:sz w:val="20"/>
          <w:szCs w:val="20"/>
        </w:rPr>
        <w:t>Kelin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Valeirão</w:t>
      </w:r>
      <w:proofErr w:type="spellEnd"/>
      <w:r>
        <w:rPr>
          <w:rFonts w:ascii="Times New Roman" w:eastAsia="Times New Roman" w:hAnsi="Times New Roman" w:cs="Times New Roman"/>
          <w:color w:val="000000"/>
          <w:sz w:val="20"/>
          <w:szCs w:val="20"/>
        </w:rPr>
        <w:t xml:space="preserve"> e Sônia Maria </w:t>
      </w:r>
      <w:proofErr w:type="spellStart"/>
      <w:r>
        <w:rPr>
          <w:rFonts w:ascii="Times New Roman" w:eastAsia="Times New Roman" w:hAnsi="Times New Roman" w:cs="Times New Roman"/>
          <w:color w:val="000000"/>
          <w:sz w:val="20"/>
          <w:szCs w:val="20"/>
        </w:rPr>
        <w:t>Schio</w:t>
      </w:r>
      <w:proofErr w:type="spellEnd"/>
      <w:r>
        <w:rPr>
          <w:rFonts w:ascii="Times New Roman" w:eastAsia="Times New Roman" w:hAnsi="Times New Roman" w:cs="Times New Roman"/>
          <w:color w:val="000000"/>
          <w:sz w:val="20"/>
          <w:szCs w:val="20"/>
        </w:rPr>
        <w:t xml:space="preserve"> Pelotas: NEPFIL Online, 2017.</w:t>
      </w:r>
    </w:p>
  </w:footnote>
  <w:footnote w:id="20">
    <w:p w14:paraId="39B03269"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Em </w:t>
      </w:r>
      <w:proofErr w:type="spellStart"/>
      <w:r>
        <w:rPr>
          <w:rFonts w:ascii="Times New Roman" w:eastAsia="Times New Roman" w:hAnsi="Times New Roman" w:cs="Times New Roman"/>
          <w:color w:val="000000"/>
          <w:sz w:val="20"/>
          <w:szCs w:val="20"/>
        </w:rPr>
        <w:t>su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seminario</w:t>
      </w:r>
      <w:proofErr w:type="spellEnd"/>
      <w:r>
        <w:rPr>
          <w:rFonts w:ascii="Times New Roman" w:eastAsia="Times New Roman" w:hAnsi="Times New Roman" w:cs="Times New Roman"/>
          <w:color w:val="000000"/>
          <w:sz w:val="20"/>
          <w:szCs w:val="20"/>
        </w:rPr>
        <w:t xml:space="preserve"> sobre </w:t>
      </w:r>
      <w:proofErr w:type="spellStart"/>
      <w:r>
        <w:rPr>
          <w:rFonts w:ascii="Times New Roman" w:eastAsia="Times New Roman" w:hAnsi="Times New Roman" w:cs="Times New Roman"/>
          <w:color w:val="000000"/>
          <w:sz w:val="20"/>
          <w:szCs w:val="20"/>
        </w:rPr>
        <w:t>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nacimiento</w:t>
      </w:r>
      <w:proofErr w:type="spellEnd"/>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biopolítica, Foucault </w:t>
      </w:r>
      <w:proofErr w:type="spellStart"/>
      <w:r>
        <w:rPr>
          <w:rFonts w:ascii="Times New Roman" w:eastAsia="Times New Roman" w:hAnsi="Times New Roman" w:cs="Times New Roman"/>
          <w:color w:val="000000"/>
          <w:sz w:val="20"/>
          <w:szCs w:val="20"/>
        </w:rPr>
        <w:t>vinculó</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génesis de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lógica económica com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historia de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dominación</w:t>
      </w:r>
      <w:proofErr w:type="spellEnd"/>
      <w:r>
        <w:rPr>
          <w:rFonts w:ascii="Times New Roman" w:eastAsia="Times New Roman" w:hAnsi="Times New Roman" w:cs="Times New Roman"/>
          <w:color w:val="000000"/>
          <w:sz w:val="20"/>
          <w:szCs w:val="20"/>
        </w:rPr>
        <w:t xml:space="preserve"> capitalista y </w:t>
      </w:r>
      <w:proofErr w:type="spellStart"/>
      <w:r>
        <w:rPr>
          <w:rFonts w:ascii="Times New Roman" w:eastAsia="Times New Roman" w:hAnsi="Times New Roman" w:cs="Times New Roman"/>
          <w:color w:val="000000"/>
          <w:sz w:val="20"/>
          <w:szCs w:val="20"/>
        </w:rPr>
        <w:t>habló</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en</w:t>
      </w:r>
      <w:proofErr w:type="spellEnd"/>
      <w:r>
        <w:rPr>
          <w:rFonts w:ascii="Times New Roman" w:eastAsia="Times New Roman" w:hAnsi="Times New Roman" w:cs="Times New Roman"/>
          <w:color w:val="000000"/>
          <w:sz w:val="20"/>
          <w:szCs w:val="20"/>
        </w:rPr>
        <w:t xml:space="preserve"> particular, de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uniforización</w:t>
      </w:r>
      <w:proofErr w:type="spellEnd"/>
      <w:r>
        <w:rPr>
          <w:rFonts w:ascii="Times New Roman" w:eastAsia="Times New Roman" w:hAnsi="Times New Roman" w:cs="Times New Roman"/>
          <w:color w:val="000000"/>
          <w:sz w:val="20"/>
          <w:szCs w:val="20"/>
        </w:rPr>
        <w:t xml:space="preserve"> universal de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cultura h um </w:t>
      </w:r>
      <w:proofErr w:type="spellStart"/>
      <w:r>
        <w:rPr>
          <w:rFonts w:ascii="Times New Roman" w:eastAsia="Times New Roman" w:hAnsi="Times New Roman" w:cs="Times New Roman"/>
          <w:color w:val="000000"/>
          <w:sz w:val="20"/>
          <w:szCs w:val="20"/>
        </w:rPr>
        <w:t>ana</w:t>
      </w:r>
      <w:proofErr w:type="spellEnd"/>
      <w:r>
        <w:rPr>
          <w:rFonts w:ascii="Times New Roman" w:eastAsia="Times New Roman" w:hAnsi="Times New Roman" w:cs="Times New Roman"/>
          <w:color w:val="000000"/>
          <w:sz w:val="20"/>
          <w:szCs w:val="20"/>
        </w:rPr>
        <w:t xml:space="preserve"> em </w:t>
      </w:r>
      <w:proofErr w:type="spellStart"/>
      <w:r>
        <w:rPr>
          <w:rFonts w:ascii="Times New Roman" w:eastAsia="Times New Roman" w:hAnsi="Times New Roman" w:cs="Times New Roman"/>
          <w:color w:val="000000"/>
          <w:sz w:val="20"/>
          <w:szCs w:val="20"/>
        </w:rPr>
        <w:t>el</w:t>
      </w:r>
      <w:proofErr w:type="spellEnd"/>
      <w:r>
        <w:rPr>
          <w:rFonts w:ascii="Times New Roman" w:eastAsia="Times New Roman" w:hAnsi="Times New Roman" w:cs="Times New Roman"/>
          <w:color w:val="000000"/>
          <w:sz w:val="20"/>
          <w:szCs w:val="20"/>
        </w:rPr>
        <w:t xml:space="preserve"> modelo operacional de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enterprise</w:t>
      </w:r>
      <w:proofErr w:type="spellEnd"/>
      <w:r>
        <w:rPr>
          <w:rFonts w:ascii="Times New Roman" w:eastAsia="Times New Roman" w:hAnsi="Times New Roman" w:cs="Times New Roman"/>
          <w:color w:val="000000"/>
          <w:sz w:val="20"/>
          <w:szCs w:val="20"/>
        </w:rPr>
        <w:t xml:space="preserve"> como núcleo </w:t>
      </w:r>
      <w:proofErr w:type="spellStart"/>
      <w:r>
        <w:rPr>
          <w:rFonts w:ascii="Times New Roman" w:eastAsia="Times New Roman" w:hAnsi="Times New Roman" w:cs="Times New Roman"/>
          <w:color w:val="000000"/>
          <w:sz w:val="20"/>
          <w:szCs w:val="20"/>
        </w:rPr>
        <w:t>del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proyecto</w:t>
      </w:r>
      <w:proofErr w:type="spellEnd"/>
      <w:r>
        <w:rPr>
          <w:rFonts w:ascii="Times New Roman" w:eastAsia="Times New Roman" w:hAnsi="Times New Roman" w:cs="Times New Roman"/>
          <w:color w:val="000000"/>
          <w:sz w:val="20"/>
          <w:szCs w:val="20"/>
        </w:rPr>
        <w:t xml:space="preserve"> neoliberal. Foucault </w:t>
      </w:r>
      <w:proofErr w:type="spellStart"/>
      <w:r>
        <w:rPr>
          <w:rFonts w:ascii="Times New Roman" w:eastAsia="Times New Roman" w:hAnsi="Times New Roman" w:cs="Times New Roman"/>
          <w:color w:val="000000"/>
          <w:sz w:val="20"/>
          <w:szCs w:val="20"/>
        </w:rPr>
        <w:t>describió</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el</w:t>
      </w:r>
      <w:proofErr w:type="spellEnd"/>
      <w:r>
        <w:rPr>
          <w:rFonts w:ascii="Times New Roman" w:eastAsia="Times New Roman" w:hAnsi="Times New Roman" w:cs="Times New Roman"/>
          <w:color w:val="000000"/>
          <w:sz w:val="20"/>
          <w:szCs w:val="20"/>
        </w:rPr>
        <w:t xml:space="preserve"> capitalismo como </w:t>
      </w:r>
      <w:proofErr w:type="spellStart"/>
      <w:r>
        <w:rPr>
          <w:rFonts w:ascii="Times New Roman" w:eastAsia="Times New Roman" w:hAnsi="Times New Roman" w:cs="Times New Roman"/>
          <w:color w:val="000000"/>
          <w:sz w:val="20"/>
          <w:szCs w:val="20"/>
        </w:rPr>
        <w:t>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sometimiento</w:t>
      </w:r>
      <w:proofErr w:type="spellEnd"/>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potencia social (física e intelectual) a lãs </w:t>
      </w:r>
      <w:proofErr w:type="spellStart"/>
      <w:r>
        <w:rPr>
          <w:rFonts w:ascii="Times New Roman" w:eastAsia="Times New Roman" w:hAnsi="Times New Roman" w:cs="Times New Roman"/>
          <w:color w:val="000000"/>
          <w:sz w:val="20"/>
          <w:szCs w:val="20"/>
        </w:rPr>
        <w:t>reglas</w:t>
      </w:r>
      <w:proofErr w:type="spellEnd"/>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escasez</w:t>
      </w:r>
      <w:proofErr w:type="spellEnd"/>
      <w:r>
        <w:rPr>
          <w:rFonts w:ascii="Times New Roman" w:eastAsia="Times New Roman" w:hAnsi="Times New Roman" w:cs="Times New Roman"/>
          <w:color w:val="000000"/>
          <w:sz w:val="20"/>
          <w:szCs w:val="20"/>
        </w:rPr>
        <w:t xml:space="preserve"> y </w:t>
      </w:r>
      <w:proofErr w:type="spellStart"/>
      <w:r>
        <w:rPr>
          <w:rFonts w:ascii="Times New Roman" w:eastAsia="Times New Roman" w:hAnsi="Times New Roman" w:cs="Times New Roman"/>
          <w:color w:val="000000"/>
          <w:sz w:val="20"/>
          <w:szCs w:val="20"/>
        </w:rPr>
        <w:t>acumulación</w:t>
      </w:r>
      <w:proofErr w:type="spellEnd"/>
      <w:r>
        <w:rPr>
          <w:rFonts w:ascii="Times New Roman" w:eastAsia="Times New Roman" w:hAnsi="Times New Roman" w:cs="Times New Roman"/>
          <w:color w:val="000000"/>
          <w:sz w:val="20"/>
          <w:szCs w:val="20"/>
        </w:rPr>
        <w:t xml:space="preserve">. BERARDI, Franco </w:t>
      </w:r>
      <w:proofErr w:type="spellStart"/>
      <w:r>
        <w:rPr>
          <w:rFonts w:ascii="Times New Roman" w:eastAsia="Times New Roman" w:hAnsi="Times New Roman" w:cs="Times New Roman"/>
          <w:color w:val="000000"/>
          <w:sz w:val="20"/>
          <w:szCs w:val="20"/>
        </w:rPr>
        <w:t>Fenomenología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sensibilidad</w:t>
      </w:r>
      <w:proofErr w:type="spellEnd"/>
      <w:r>
        <w:rPr>
          <w:rFonts w:ascii="Times New Roman" w:eastAsia="Times New Roman" w:hAnsi="Times New Roman" w:cs="Times New Roman"/>
          <w:color w:val="000000"/>
          <w:sz w:val="20"/>
          <w:szCs w:val="20"/>
        </w:rPr>
        <w:t xml:space="preserve"> y </w:t>
      </w:r>
      <w:proofErr w:type="spellStart"/>
      <w:r>
        <w:rPr>
          <w:rFonts w:ascii="Times New Roman" w:eastAsia="Times New Roman" w:hAnsi="Times New Roman" w:cs="Times New Roman"/>
          <w:color w:val="000000"/>
          <w:sz w:val="20"/>
          <w:szCs w:val="20"/>
        </w:rPr>
        <w:t>mutación</w:t>
      </w:r>
      <w:proofErr w:type="spellEnd"/>
      <w:r>
        <w:rPr>
          <w:rFonts w:ascii="Times New Roman" w:eastAsia="Times New Roman" w:hAnsi="Times New Roman" w:cs="Times New Roman"/>
          <w:color w:val="000000"/>
          <w:sz w:val="20"/>
          <w:szCs w:val="20"/>
        </w:rPr>
        <w:t xml:space="preserve"> conectiva -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ed. </w:t>
      </w:r>
      <w:proofErr w:type="spellStart"/>
      <w:r>
        <w:rPr>
          <w:rFonts w:ascii="Times New Roman" w:eastAsia="Times New Roman" w:hAnsi="Times New Roman" w:cs="Times New Roman"/>
          <w:color w:val="000000"/>
          <w:sz w:val="20"/>
          <w:szCs w:val="20"/>
        </w:rPr>
        <w:t>Ciudad</w:t>
      </w:r>
      <w:proofErr w:type="spellEnd"/>
      <w:r>
        <w:rPr>
          <w:rFonts w:ascii="Times New Roman" w:eastAsia="Times New Roman" w:hAnsi="Times New Roman" w:cs="Times New Roman"/>
          <w:color w:val="000000"/>
          <w:sz w:val="20"/>
          <w:szCs w:val="20"/>
        </w:rPr>
        <w:t xml:space="preserve"> Autónoma de Buenos Aires: Caja Negra, 2017, p. 128.</w:t>
      </w:r>
    </w:p>
  </w:footnote>
  <w:footnote w:id="21">
    <w:p w14:paraId="378AAAEE"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A racionalidade governamental significa não apenas pensar a ação dos governantes, mas também dos governados. O neoliberalismo dispõe como características principais a concorrência como conduta da empresa e modelo de subjetivação. Será um tipo de racionalidade governamental que dirige a ação do Estado e a conduta dos homens. AMARAL, Augusto Jobim. </w:t>
      </w:r>
      <w:proofErr w:type="spellStart"/>
      <w:r>
        <w:rPr>
          <w:rFonts w:ascii="Times New Roman" w:eastAsia="Times New Roman" w:hAnsi="Times New Roman" w:cs="Times New Roman"/>
          <w:color w:val="000000"/>
          <w:sz w:val="20"/>
          <w:szCs w:val="20"/>
        </w:rPr>
        <w:t>Biopolitica</w:t>
      </w:r>
      <w:proofErr w:type="spellEnd"/>
      <w:r>
        <w:rPr>
          <w:rFonts w:ascii="Times New Roman" w:eastAsia="Times New Roman" w:hAnsi="Times New Roman" w:cs="Times New Roman"/>
          <w:color w:val="000000"/>
          <w:sz w:val="20"/>
          <w:szCs w:val="20"/>
        </w:rPr>
        <w:t xml:space="preserve"> e </w:t>
      </w:r>
      <w:proofErr w:type="spellStart"/>
      <w:r>
        <w:rPr>
          <w:rFonts w:ascii="Times New Roman" w:eastAsia="Times New Roman" w:hAnsi="Times New Roman" w:cs="Times New Roman"/>
          <w:color w:val="000000"/>
          <w:sz w:val="20"/>
          <w:szCs w:val="20"/>
        </w:rPr>
        <w:t>Biocapitalismo</w:t>
      </w:r>
      <w:proofErr w:type="spellEnd"/>
      <w:r>
        <w:rPr>
          <w:rFonts w:ascii="Times New Roman" w:eastAsia="Times New Roman" w:hAnsi="Times New Roman" w:cs="Times New Roman"/>
          <w:color w:val="000000"/>
          <w:sz w:val="20"/>
          <w:szCs w:val="20"/>
        </w:rPr>
        <w:t xml:space="preserve">: Implicações da violência e do controle. </w:t>
      </w:r>
      <w:r>
        <w:rPr>
          <w:rFonts w:ascii="Times New Roman" w:eastAsia="Times New Roman" w:hAnsi="Times New Roman" w:cs="Times New Roman"/>
          <w:color w:val="000000"/>
          <w:sz w:val="20"/>
          <w:szCs w:val="20"/>
          <w:highlight w:val="white"/>
        </w:rPr>
        <w:t>Veritas. Porto Alegre, v.63, n.2,maio-ago.2018.</w:t>
      </w:r>
    </w:p>
  </w:footnote>
  <w:footnote w:id="22">
    <w:p w14:paraId="5DCC3C8F"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Ao conceituar o neoliberalismo como "reprogramação do liberalismo", Michel Foucault oferece uma caracterização substancialmente diferente do neoliberalismo em seu significado, objetivo e propósito. Em seu curso no </w:t>
      </w:r>
      <w:proofErr w:type="spellStart"/>
      <w:r>
        <w:rPr>
          <w:rFonts w:ascii="Times New Roman" w:eastAsia="Times New Roman" w:hAnsi="Times New Roman" w:cs="Times New Roman"/>
          <w:i/>
          <w:iCs/>
          <w:color w:val="000000"/>
          <w:sz w:val="20"/>
          <w:szCs w:val="20"/>
        </w:rPr>
        <w:t>Collège</w:t>
      </w:r>
      <w:proofErr w:type="spellEnd"/>
      <w:r>
        <w:rPr>
          <w:rFonts w:ascii="Times New Roman" w:eastAsia="Times New Roman" w:hAnsi="Times New Roman" w:cs="Times New Roman"/>
          <w:i/>
          <w:iCs/>
          <w:color w:val="000000"/>
          <w:sz w:val="20"/>
          <w:szCs w:val="20"/>
        </w:rPr>
        <w:t xml:space="preserve"> de France</w:t>
      </w:r>
      <w:r>
        <w:rPr>
          <w:rFonts w:ascii="Times New Roman" w:eastAsia="Times New Roman" w:hAnsi="Times New Roman" w:cs="Times New Roman"/>
          <w:color w:val="000000"/>
          <w:sz w:val="20"/>
          <w:szCs w:val="20"/>
        </w:rPr>
        <w:t xml:space="preserve"> de 1978-79, Foucault enfatizou a significância do neoliberalismo como uma nova racionalidade política, cujo alcance e implicações vão muito além da política econômica e do fortalecimento do capital. Ou seja, os valores do neoliberalismo são conduzidos e operados pelos governos, que orientam e orquestram o Estado, a sociedade e os sujeitos pela remodelação da razão neoliberal enquanto racionalidade política. BROW, Wendy. Nas ruínas do neoliberalismo. traduzido por Mario A. Marino, Eduardo </w:t>
      </w:r>
      <w:proofErr w:type="spellStart"/>
      <w:r>
        <w:rPr>
          <w:rFonts w:ascii="Times New Roman" w:eastAsia="Times New Roman" w:hAnsi="Times New Roman" w:cs="Times New Roman"/>
          <w:color w:val="000000"/>
          <w:sz w:val="20"/>
          <w:szCs w:val="20"/>
        </w:rPr>
        <w:t>Altheman</w:t>
      </w:r>
      <w:proofErr w:type="spellEnd"/>
      <w:r>
        <w:rPr>
          <w:rFonts w:ascii="Times New Roman" w:eastAsia="Times New Roman" w:hAnsi="Times New Roman" w:cs="Times New Roman"/>
          <w:color w:val="000000"/>
          <w:sz w:val="20"/>
          <w:szCs w:val="20"/>
        </w:rPr>
        <w:t xml:space="preserve"> C. Santos. - São Paulo: Editora Filosófica Politeia, 2019, p. 31.</w:t>
      </w:r>
    </w:p>
  </w:footnote>
  <w:footnote w:id="23">
    <w:p w14:paraId="7F3C1A74"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DARDOT, Pierre. A nova razão do mundo: ensaio sobre a sociedade neoliberal. Tradução Mariana </w:t>
      </w:r>
      <w:proofErr w:type="spellStart"/>
      <w:r>
        <w:rPr>
          <w:rFonts w:ascii="Times New Roman" w:eastAsia="Times New Roman" w:hAnsi="Times New Roman" w:cs="Times New Roman"/>
          <w:color w:val="000000"/>
          <w:sz w:val="20"/>
          <w:szCs w:val="20"/>
        </w:rPr>
        <w:t>Echalar</w:t>
      </w:r>
      <w:proofErr w:type="spellEnd"/>
      <w:r>
        <w:rPr>
          <w:rFonts w:ascii="Times New Roman" w:eastAsia="Times New Roman" w:hAnsi="Times New Roman" w:cs="Times New Roman"/>
          <w:color w:val="000000"/>
          <w:sz w:val="20"/>
          <w:szCs w:val="20"/>
        </w:rPr>
        <w:t xml:space="preserve">. São Paulo: 1.ª edição. Editora Boitempo, 2016, p. 16. </w:t>
      </w:r>
    </w:p>
  </w:footnote>
  <w:footnote w:id="24">
    <w:p w14:paraId="3FCFD28C"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Segurança, território e população. Tradução: Eduardo Brandão. São Paulo: Martins Fontes, 2008, p.217.</w:t>
      </w:r>
    </w:p>
  </w:footnote>
  <w:footnote w:id="25">
    <w:p w14:paraId="22CD08D2" w14:textId="77777777" w:rsidR="00094B1A" w:rsidRDefault="00094B1A" w:rsidP="00094B1A">
      <w:pPr>
        <w:pStyle w:val="Ttulo5"/>
        <w:spacing w:after="0"/>
        <w:jc w:val="both"/>
        <w:rPr>
          <w:b w:val="0"/>
          <w:bCs w:val="0"/>
          <w:color w:val="000000"/>
        </w:rPr>
      </w:pPr>
      <w:r>
        <w:rPr>
          <w:vertAlign w:val="superscript"/>
        </w:rPr>
        <w:footnoteRef/>
      </w:r>
      <w:r>
        <w:rPr>
          <w:b w:val="0"/>
          <w:bCs w:val="0"/>
        </w:rPr>
        <w:t xml:space="preserve"> CHIGNOLA, Sandro. </w:t>
      </w:r>
      <w:r>
        <w:rPr>
          <w:b w:val="0"/>
          <w:bCs w:val="0"/>
          <w:color w:val="000000"/>
        </w:rPr>
        <w:t xml:space="preserve">“A </w:t>
      </w:r>
      <w:proofErr w:type="spellStart"/>
      <w:r>
        <w:rPr>
          <w:b w:val="0"/>
          <w:bCs w:val="0"/>
          <w:color w:val="000000"/>
        </w:rPr>
        <w:t>Toupeirae</w:t>
      </w:r>
      <w:proofErr w:type="spellEnd"/>
      <w:r>
        <w:rPr>
          <w:b w:val="0"/>
          <w:bCs w:val="0"/>
          <w:color w:val="000000"/>
        </w:rPr>
        <w:t xml:space="preserve"> a Serpente”. In: Foucault para além de Foucault. Tradução de Augusto Jobim do Amaral et al.. Porto Alegre: Criação Humana, 2020 p. 216-240.</w:t>
      </w:r>
    </w:p>
  </w:footnote>
  <w:footnote w:id="26">
    <w:p w14:paraId="2ED83077" w14:textId="77777777" w:rsidR="00094B1A" w:rsidRDefault="00094B1A" w:rsidP="00094B1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MASCARO, Alysson. Sociologia do Direito. Editora Atlas: São Paulo, 2022, p. 155. </w:t>
      </w:r>
    </w:p>
  </w:footnote>
  <w:footnote w:id="27">
    <w:p w14:paraId="36C80658"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Em defesa da sociedade: curso no </w:t>
      </w:r>
      <w:proofErr w:type="spellStart"/>
      <w:r>
        <w:rPr>
          <w:rFonts w:ascii="Times New Roman" w:eastAsia="Times New Roman" w:hAnsi="Times New Roman" w:cs="Times New Roman"/>
          <w:color w:val="000000"/>
          <w:sz w:val="20"/>
          <w:szCs w:val="20"/>
        </w:rPr>
        <w:t>College</w:t>
      </w:r>
      <w:proofErr w:type="spellEnd"/>
      <w:r>
        <w:rPr>
          <w:rFonts w:ascii="Times New Roman" w:eastAsia="Times New Roman" w:hAnsi="Times New Roman" w:cs="Times New Roman"/>
          <w:color w:val="000000"/>
          <w:sz w:val="20"/>
          <w:szCs w:val="20"/>
        </w:rPr>
        <w:t xml:space="preserve"> de France (1976). Tradução Maria </w:t>
      </w:r>
      <w:proofErr w:type="spellStart"/>
      <w:r>
        <w:rPr>
          <w:rFonts w:ascii="Times New Roman" w:eastAsia="Times New Roman" w:hAnsi="Times New Roman" w:cs="Times New Roman"/>
          <w:color w:val="000000"/>
          <w:sz w:val="20"/>
          <w:szCs w:val="20"/>
        </w:rPr>
        <w:t>Ermentina</w:t>
      </w:r>
      <w:proofErr w:type="spellEnd"/>
      <w:r>
        <w:rPr>
          <w:rFonts w:ascii="Times New Roman" w:eastAsia="Times New Roman" w:hAnsi="Times New Roman" w:cs="Times New Roman"/>
          <w:color w:val="000000"/>
          <w:sz w:val="20"/>
          <w:szCs w:val="20"/>
        </w:rPr>
        <w:t xml:space="preserve"> Galvão. 2 edição – São Paulo: Editora WMF Martins Fontes, 2010, p. 24.</w:t>
      </w:r>
    </w:p>
  </w:footnote>
  <w:footnote w:id="28">
    <w:p w14:paraId="32A831E4"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Analisando o governo na concepção de Maquiavel, Foucault destaca que a partir do século XVI até o final do século XVIII, vê−se desenvolver uma série considerável de tratados que se apresentam não mais como conselhos aos príncipes, nem ainda como ciência da política, mas como arte de governar. De modo geral, o problema do governo aparece no século XVI com relação a questões bastante diferentes e sob múltiplos aspectos: problema do governo de si mesmo − reatualizado, por exemplo, pelo retorno ao estoicismo no século XVI; problema do governo das almas e das condutas, tema da pastoral católica e protestante; problema do governo das crianças, problemática central da pedagogia, que aparece e se desenvolve no século XVI; enfim, problema do governo dos Estados pelos príncipes. Como se governar, como ser governado, como fazer para ser o melhor governante possível, Ser hábil em conservar seu principado não é de modo algum possuir a arte de governar. FOUCAULT, Michel. Microfísica do Poder. Microfísica do Poder. Organização, introdução e Revisão Técnica de Roberto Machado. Disponível em: </w:t>
      </w:r>
      <w:hyperlink r:id="rId3">
        <w:r>
          <w:rPr>
            <w:rFonts w:ascii="Times New Roman" w:eastAsia="Times New Roman" w:hAnsi="Times New Roman" w:cs="Times New Roman"/>
            <w:color w:val="000000"/>
            <w:sz w:val="20"/>
            <w:szCs w:val="20"/>
            <w:u w:val="single"/>
          </w:rPr>
          <w:t>https://www.nodo50.org/insurgentes/biblioteca/A_Microfisica_do_Poder_-_Michel_Foulcault.pdf</w:t>
        </w:r>
      </w:hyperlink>
      <w:r>
        <w:rPr>
          <w:rFonts w:ascii="Times New Roman" w:eastAsia="Times New Roman" w:hAnsi="Times New Roman" w:cs="Times New Roman"/>
          <w:color w:val="000000"/>
          <w:sz w:val="20"/>
          <w:szCs w:val="20"/>
        </w:rPr>
        <w:t>. Acesso em 15 de junho de 2024.</w:t>
      </w:r>
    </w:p>
  </w:footnote>
  <w:footnote w:id="29">
    <w:p w14:paraId="798EBC16"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Ibidem, p.25. </w:t>
      </w:r>
    </w:p>
  </w:footnote>
  <w:footnote w:id="30">
    <w:p w14:paraId="73D28409"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Calibri" w:eastAsia="Calibri" w:hAnsi="Calibri" w:cs="Calibri"/>
          <w:color w:val="000000"/>
          <w:sz w:val="20"/>
          <w:szCs w:val="20"/>
        </w:rPr>
        <w:t xml:space="preserve"> </w:t>
      </w:r>
      <w:r>
        <w:rPr>
          <w:rFonts w:ascii="Times New Roman" w:eastAsia="Times New Roman" w:hAnsi="Times New Roman" w:cs="Times New Roman"/>
          <w:color w:val="000000"/>
          <w:sz w:val="20"/>
          <w:szCs w:val="20"/>
        </w:rPr>
        <w:t>A análise de Foucault refere-se ao fato de que, na visão Hobbes, pela arte é criado o grande Leviatã (monstro bíblico) a que se chama Estado, ou Cidade (</w:t>
      </w:r>
      <w:r>
        <w:rPr>
          <w:rFonts w:ascii="Times New Roman" w:eastAsia="Times New Roman" w:hAnsi="Times New Roman" w:cs="Times New Roman"/>
          <w:i/>
          <w:iCs/>
          <w:color w:val="000000"/>
          <w:sz w:val="20"/>
          <w:szCs w:val="20"/>
        </w:rPr>
        <w:t xml:space="preserve">em latim </w:t>
      </w:r>
      <w:proofErr w:type="spellStart"/>
      <w:r>
        <w:rPr>
          <w:rFonts w:ascii="Times New Roman" w:eastAsia="Times New Roman" w:hAnsi="Times New Roman" w:cs="Times New Roman"/>
          <w:i/>
          <w:iCs/>
          <w:color w:val="000000"/>
          <w:sz w:val="20"/>
          <w:szCs w:val="20"/>
        </w:rPr>
        <w:t>Civitas</w:t>
      </w:r>
      <w:proofErr w:type="spellEnd"/>
      <w:r>
        <w:rPr>
          <w:rFonts w:ascii="Times New Roman" w:eastAsia="Times New Roman" w:hAnsi="Times New Roman" w:cs="Times New Roman"/>
          <w:color w:val="000000"/>
          <w:sz w:val="20"/>
          <w:szCs w:val="20"/>
        </w:rPr>
        <w:t xml:space="preserve">), que não é senão um homem artificial, embora de maior estatura e força do que o homem natural, para cuja proteção e defesa foi projetado. Nesse sentido, a soberania seria uma alma artificial, pois daria vida e movimento ao corpo todo; os magistrados e outros funcionários judiciais ou executivos, juntas artificiais; a recompensa e o castigo (pelos quais, ligados ao trono da soberania, todas as juntas e membros são levados a cumprir seu dever) são os nervos, que fazem o mesmo no corpo natural; a riqueza e prosperidade de todos os membros individuais são a força.  O direito que por natureza os homens têm de defender-se a si mesmos não pode ser abandonado através de pacto algum. A soberania é a alma do Estado, e uma vez separada do corpo os membros deixam de receber dela seu movimento. HOBBES, Thomas. </w:t>
      </w:r>
      <w:hyperlink r:id="rId4">
        <w:r>
          <w:rPr>
            <w:rFonts w:ascii="Times New Roman" w:eastAsia="Times New Roman" w:hAnsi="Times New Roman" w:cs="Times New Roman"/>
            <w:color w:val="000000"/>
            <w:sz w:val="20"/>
            <w:szCs w:val="20"/>
            <w:u w:val="single"/>
          </w:rPr>
          <w:t>https://www.dhnet.org.br/direitos/anthist/marcos/hdh_thomas_hobbes_leviatan.pdf</w:t>
        </w:r>
      </w:hyperlink>
      <w:r>
        <w:rPr>
          <w:rFonts w:ascii="Times New Roman" w:eastAsia="Times New Roman" w:hAnsi="Times New Roman" w:cs="Times New Roman"/>
          <w:color w:val="000000"/>
          <w:sz w:val="20"/>
          <w:szCs w:val="20"/>
        </w:rPr>
        <w:t xml:space="preserve">. Acesso em: 15 de junho de 2024. </w:t>
      </w:r>
    </w:p>
  </w:footnote>
  <w:footnote w:id="31">
    <w:p w14:paraId="6E204AC6"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Em defesa da sociedade: curso no </w:t>
      </w:r>
      <w:proofErr w:type="spellStart"/>
      <w:r>
        <w:rPr>
          <w:rFonts w:ascii="Times New Roman" w:eastAsia="Times New Roman" w:hAnsi="Times New Roman" w:cs="Times New Roman"/>
          <w:color w:val="000000"/>
          <w:sz w:val="20"/>
          <w:szCs w:val="20"/>
        </w:rPr>
        <w:t>Collêge</w:t>
      </w:r>
      <w:proofErr w:type="spellEnd"/>
      <w:r>
        <w:rPr>
          <w:rFonts w:ascii="Times New Roman" w:eastAsia="Times New Roman" w:hAnsi="Times New Roman" w:cs="Times New Roman"/>
          <w:color w:val="000000"/>
          <w:sz w:val="20"/>
          <w:szCs w:val="20"/>
        </w:rPr>
        <w:t xml:space="preserve"> de France (1976). Tradução Maria </w:t>
      </w:r>
      <w:proofErr w:type="spellStart"/>
      <w:r>
        <w:rPr>
          <w:rFonts w:ascii="Times New Roman" w:eastAsia="Times New Roman" w:hAnsi="Times New Roman" w:cs="Times New Roman"/>
          <w:color w:val="000000"/>
          <w:sz w:val="20"/>
          <w:szCs w:val="20"/>
        </w:rPr>
        <w:t>Ermentina</w:t>
      </w:r>
      <w:proofErr w:type="spellEnd"/>
      <w:r>
        <w:rPr>
          <w:rFonts w:ascii="Times New Roman" w:eastAsia="Times New Roman" w:hAnsi="Times New Roman" w:cs="Times New Roman"/>
          <w:color w:val="000000"/>
          <w:sz w:val="20"/>
          <w:szCs w:val="20"/>
        </w:rPr>
        <w:t xml:space="preserve"> Galvão. 2 edição – São Paulo: Editora WMF Martins Fontes, 2010, p. 26.</w:t>
      </w:r>
    </w:p>
  </w:footnote>
  <w:footnote w:id="32">
    <w:p w14:paraId="67E1715C"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Ibidem, p. 26. </w:t>
      </w:r>
    </w:p>
  </w:footnote>
  <w:footnote w:id="33">
    <w:p w14:paraId="4EC6B1C2" w14:textId="77777777" w:rsidR="00094B1A" w:rsidRDefault="00094B1A" w:rsidP="00094B1A">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FOUCAULT, Michel.  A Sociedade Punitiva. Tradução </w:t>
      </w:r>
      <w:proofErr w:type="spellStart"/>
      <w:r>
        <w:rPr>
          <w:rFonts w:ascii="Times New Roman" w:eastAsia="Times New Roman" w:hAnsi="Times New Roman" w:cs="Times New Roman"/>
          <w:sz w:val="20"/>
          <w:szCs w:val="20"/>
        </w:rPr>
        <w:t>Ivoni</w:t>
      </w:r>
      <w:proofErr w:type="spellEnd"/>
      <w:r>
        <w:rPr>
          <w:rFonts w:ascii="Times New Roman" w:eastAsia="Times New Roman" w:hAnsi="Times New Roman" w:cs="Times New Roman"/>
          <w:sz w:val="20"/>
          <w:szCs w:val="20"/>
        </w:rPr>
        <w:t xml:space="preserve"> Benedetti. São Paulo: Martins Fontes, 2015, p.42-43.</w:t>
      </w:r>
    </w:p>
  </w:footnote>
  <w:footnote w:id="34">
    <w:p w14:paraId="379E496D"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Il </w:t>
      </w:r>
      <w:proofErr w:type="spellStart"/>
      <w:r>
        <w:rPr>
          <w:rFonts w:ascii="Times New Roman" w:eastAsia="Times New Roman" w:hAnsi="Times New Roman" w:cs="Times New Roman"/>
          <w:color w:val="000000"/>
          <w:sz w:val="20"/>
          <w:szCs w:val="20"/>
        </w:rPr>
        <w:t>faut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défendre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société</w:t>
      </w:r>
      <w:proofErr w:type="spellEnd"/>
      <w:r>
        <w:rPr>
          <w:rFonts w:ascii="Times New Roman" w:eastAsia="Times New Roman" w:hAnsi="Times New Roman" w:cs="Times New Roman"/>
          <w:color w:val="000000"/>
          <w:sz w:val="20"/>
          <w:szCs w:val="20"/>
        </w:rPr>
        <w:t xml:space="preserve">. Cours </w:t>
      </w:r>
      <w:proofErr w:type="spellStart"/>
      <w:r>
        <w:rPr>
          <w:rFonts w:ascii="Times New Roman" w:eastAsia="Times New Roman" w:hAnsi="Times New Roman" w:cs="Times New Roman"/>
          <w:color w:val="000000"/>
          <w:sz w:val="20"/>
          <w:szCs w:val="20"/>
        </w:rPr>
        <w:t>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Collège</w:t>
      </w:r>
      <w:proofErr w:type="spellEnd"/>
      <w:r>
        <w:rPr>
          <w:rFonts w:ascii="Times New Roman" w:eastAsia="Times New Roman" w:hAnsi="Times New Roman" w:cs="Times New Roman"/>
          <w:color w:val="000000"/>
          <w:sz w:val="20"/>
          <w:szCs w:val="20"/>
        </w:rPr>
        <w:t xml:space="preserve"> de France (1975-1976) </w:t>
      </w:r>
      <w:proofErr w:type="spellStart"/>
      <w:r>
        <w:rPr>
          <w:rFonts w:ascii="Times New Roman" w:eastAsia="Times New Roman" w:hAnsi="Times New Roman" w:cs="Times New Roman"/>
          <w:color w:val="000000"/>
          <w:sz w:val="20"/>
          <w:szCs w:val="20"/>
        </w:rPr>
        <w:t>Édition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établie,dans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cadre</w:t>
      </w:r>
      <w:proofErr w:type="spellEnd"/>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l’Association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w:t>
      </w:r>
      <w:proofErr w:type="spellEnd"/>
      <w:r>
        <w:rPr>
          <w:rFonts w:ascii="Times New Roman" w:eastAsia="Times New Roman" w:hAnsi="Times New Roman" w:cs="Times New Roman"/>
          <w:color w:val="000000"/>
          <w:sz w:val="20"/>
          <w:szCs w:val="20"/>
        </w:rPr>
        <w:t xml:space="preserve"> Centre Michel Foucault, </w:t>
      </w:r>
      <w:proofErr w:type="spellStart"/>
      <w:r>
        <w:rPr>
          <w:rFonts w:ascii="Times New Roman" w:eastAsia="Times New Roman" w:hAnsi="Times New Roman" w:cs="Times New Roman"/>
          <w:color w:val="000000"/>
          <w:sz w:val="20"/>
          <w:szCs w:val="20"/>
        </w:rPr>
        <w:t>sous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direction</w:t>
      </w:r>
      <w:proofErr w:type="spellEnd"/>
      <w:r>
        <w:rPr>
          <w:rFonts w:ascii="Times New Roman" w:eastAsia="Times New Roman" w:hAnsi="Times New Roman" w:cs="Times New Roman"/>
          <w:color w:val="000000"/>
          <w:sz w:val="20"/>
          <w:szCs w:val="20"/>
        </w:rPr>
        <w:t xml:space="preserve"> de François Ewald et Alessandro Fontana, par Mauro Bertani et Alessandro Fontana </w:t>
      </w:r>
      <w:proofErr w:type="spellStart"/>
      <w:r>
        <w:rPr>
          <w:rFonts w:ascii="Times New Roman" w:eastAsia="Times New Roman" w:hAnsi="Times New Roman" w:cs="Times New Roman"/>
          <w:color w:val="000000"/>
          <w:sz w:val="20"/>
          <w:szCs w:val="20"/>
        </w:rPr>
        <w:t>Édition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numérique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réalisée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août</w:t>
      </w:r>
      <w:proofErr w:type="spellEnd"/>
      <w:r>
        <w:rPr>
          <w:rFonts w:ascii="Times New Roman" w:eastAsia="Times New Roman" w:hAnsi="Times New Roman" w:cs="Times New Roman"/>
          <w:color w:val="000000"/>
          <w:sz w:val="20"/>
          <w:szCs w:val="20"/>
        </w:rPr>
        <w:t xml:space="preserve"> 2012, p.27. </w:t>
      </w:r>
    </w:p>
  </w:footnote>
  <w:footnote w:id="35">
    <w:p w14:paraId="4E73AE4B" w14:textId="77777777" w:rsidR="00094B1A" w:rsidRDefault="00094B1A" w:rsidP="00094B1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Para resumir essas cinco precauções de método, eu diria isto: em vez de orientar a pesquisa sobre o poder para o âmbito do edifício jurídico da soberania, para o âmbito dos aparelhos de Estado, para o âmbito das ideologias que o acompanham, creio que se deve orientar a análise do poder para o âmbito da dominação (e não da soberania), para o âmbito dos operadores materiais, para o âmbito das formas de sujeição, para o âmbito das conexões e utilizações dos sistemas locais dessa sujeição e para o âmbito, enfim, dos dispositivos de saber.  Em suma, e preciso desvencilhar-se do modelo do Leviatã, desse modelo de um homem artificial, a um tempo autômato, fabricado e unitário igualmente, que envolveria todos os indivíduos reais, e cujo corpo seria os cidadãos, mas cuja alma seria a soberania. E preciso estudar o poder fora do modelo do Leviatã, fora do campo delimitado pela soberania jurídica e pela instituição do Estado; trata-se de analisá-lo a partir das técnicas e táticas de dominação (livre tradução do autor)</w:t>
      </w:r>
    </w:p>
  </w:footnote>
  <w:footnote w:id="36">
    <w:p w14:paraId="2F32A3CE"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DELEUZE, Gilles. Conversações (1972-1990). Tradução de Peter </w:t>
      </w:r>
      <w:proofErr w:type="spellStart"/>
      <w:r>
        <w:rPr>
          <w:rFonts w:ascii="Times New Roman" w:eastAsia="Times New Roman" w:hAnsi="Times New Roman" w:cs="Times New Roman"/>
          <w:color w:val="000000"/>
          <w:sz w:val="20"/>
          <w:szCs w:val="20"/>
        </w:rPr>
        <w:t>Pal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Pelhart</w:t>
      </w:r>
      <w:proofErr w:type="spellEnd"/>
      <w:r>
        <w:rPr>
          <w:rFonts w:ascii="Times New Roman" w:eastAsia="Times New Roman" w:hAnsi="Times New Roman" w:cs="Times New Roman"/>
          <w:color w:val="000000"/>
          <w:sz w:val="20"/>
          <w:szCs w:val="20"/>
        </w:rPr>
        <w:t xml:space="preserve"> – Rio de Janeiro: Ed.34, 1992, p. 122. </w:t>
      </w:r>
    </w:p>
  </w:footnote>
  <w:footnote w:id="37">
    <w:p w14:paraId="44C2E0C4"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As Malhas do Poder. 1.ª parte: trad. P.W. Prado Jr.; Conferência pronunciada na Faculdade de Filosofia da Universidade da Bahia (1976). Barbárie, n. 4, verão de 1981, p. 167.</w:t>
      </w:r>
    </w:p>
  </w:footnote>
  <w:footnote w:id="38">
    <w:p w14:paraId="03358B42" w14:textId="77777777" w:rsidR="00785179" w:rsidRDefault="00785179" w:rsidP="00785179">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A História da sexualidade I: A vontade de saber, tradução de Maria Thereza da Costa Albuquerque e J. A. Guilhon Albuquerque. Rio de Janeiro, Edições Graal, 1988, p. 15. </w:t>
      </w:r>
    </w:p>
  </w:footnote>
  <w:footnote w:id="39">
    <w:p w14:paraId="382C2477"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 que está em jogo nas investigações que virão a seguir é dirigirmo-nos menos para uma "teoria" do que para uma "analítica" do poder: para uma definição do domínio específico formado pelas relações de poder e a determinação dos instrumentos que permitem analisá-lo. Ora, parece-me que essa analítica só pode ser constituída fazendo tabula rasa e liberando-se de certa representação do poder, que eu chamaria veremos adiante por que de "jurídico-discursiva". É essa concepção que comanda tanto a temática da repressão quanto a teoria da lei, enquanto constitutiva do desejo. Em outros termos, o que distingue uma análise da outra, a que é feita em termos de repressão dos instintos e a que se faz em termos de lei do desejo é, certamente, a maneira de conceber a natureza e a dinâmica das pulsões; não é a maneira de conceber o poder. FOUCAULT, Michel. A História da sexualidade I: A vontade de saber, tradução de Maria Thereza da Costa Albuquerque e J. A. Guilhon Albuquerque. Rio de Janeiro, Edições Graal, 1988, p. 80. Parece-nos que Foucault chama a atenção para o mecanismo sexual do instinto, que se constitui como pulsão já seria um ato repressivo, não cultural e natural. </w:t>
      </w:r>
    </w:p>
  </w:footnote>
  <w:footnote w:id="40">
    <w:p w14:paraId="107FB9A2"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Para qualificar a organização econômica dessas sociedades, a expressão economia de subsistência, desde que não a entendida no sentido da necessidade de um defeito, de uma incapacidade, inerentes a esse tipo de sociedade e a sua tecnologia, mas, ao contrário, no sentido da recusa de um excesso inútil, da vontade de restringir a atividade produtiva a farão das necessidades. [...] á efetivamente produção de excedentes nas sociedades primitivas: a quantidade de plantas cultivadas produzidas (mandioca, milho, fumo, algodão etc.) sempre ultrapassa o que é necessário o consumo do grupo, estando essa produção suplementar, evidentemente, incluída no tempo normal de trabalho. CLASTRES, Pierre. A Sociedade contra o Estado: pesquisa de antropologia política. Tradução de Theo Santiago. Rio de Janeiro, F. Alves, 1978, p. 139. </w:t>
      </w:r>
    </w:p>
  </w:footnote>
  <w:footnote w:id="41">
    <w:p w14:paraId="0F014283"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Ibidem, p. 137. </w:t>
      </w:r>
    </w:p>
    <w:bookmarkStart w:id="5" w:name="_6baczz27csj9" w:colFirst="0" w:colLast="0"/>
    <w:bookmarkEnd w:id="5"/>
  </w:footnote>
  <w:footnote w:id="42">
    <w:p w14:paraId="3E615A15"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6" w:name="_6baczz27csj9" w:colFirst="0" w:colLast="0"/>
      <w:bookmarkEnd w:id="6"/>
      <w:r>
        <w:rPr>
          <w:vertAlign w:val="superscript"/>
        </w:rPr>
        <w:footnoteRef/>
      </w:r>
      <w:r>
        <w:rPr>
          <w:rFonts w:ascii="Times New Roman" w:eastAsia="Times New Roman" w:hAnsi="Times New Roman" w:cs="Times New Roman"/>
          <w:color w:val="000000"/>
          <w:sz w:val="20"/>
          <w:szCs w:val="20"/>
        </w:rPr>
        <w:t xml:space="preserve"> FOUCAULT, Michel. As Malhas do Poder. 1.ª parte: trad. P.W. Prado Jr.; Conferência pronunciada na Faculdade de Filosofia da Universidade da Bahia (1976). Barbárie, n. 4, verão de 1981, p. 171. </w:t>
      </w:r>
    </w:p>
  </w:footnote>
  <w:footnote w:id="43">
    <w:p w14:paraId="37C99DD6"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conceituação de burgueses advém de uma observação de Friedrich Engels a uma edição inglesa do Manifesto Comunista de 1888. O autor conceituava como sendo burguesa a classe dos capitalistas modernos, ou seja, seria os proprietários dos meios de produção sociais e que utilizariam o trabalhado assalariado. Já em relação aos proletários, seria a classe dos trabalhadores modernos, que sem possuir os meios de produção, dependem da venda da força de trabalho para sobrevivência. MARX, Karl. ENGLES, Friedrich. Manifesto do Partido Comunista. 1. Ed. São Paulo: Expressão Popular, 2008, p. 66. </w:t>
      </w:r>
    </w:p>
  </w:footnote>
  <w:footnote w:id="44">
    <w:p w14:paraId="4CB8FC26" w14:textId="77777777" w:rsidR="00785179" w:rsidRDefault="00785179" w:rsidP="00785179">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Ibigem</w:t>
      </w:r>
      <w:proofErr w:type="spellEnd"/>
      <w:r>
        <w:rPr>
          <w:rFonts w:ascii="Times New Roman" w:eastAsia="Times New Roman" w:hAnsi="Times New Roman" w:cs="Times New Roman"/>
          <w:color w:val="000000"/>
          <w:sz w:val="20"/>
          <w:szCs w:val="20"/>
        </w:rPr>
        <w:t>, 1976, p. 173.</w:t>
      </w:r>
      <w:r>
        <w:rPr>
          <w:rFonts w:ascii="Calibri" w:eastAsia="Calibri" w:hAnsi="Calibri" w:cs="Calibri"/>
          <w:color w:val="000000"/>
          <w:sz w:val="20"/>
          <w:szCs w:val="20"/>
        </w:rPr>
        <w:t xml:space="preserve"> </w:t>
      </w:r>
    </w:p>
  </w:footnote>
  <w:footnote w:id="45">
    <w:p w14:paraId="6FAE1CBC"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MARX, Karl. Le Capital. Critique de l’ </w:t>
      </w:r>
      <w:proofErr w:type="spellStart"/>
      <w:r>
        <w:rPr>
          <w:rFonts w:ascii="Times New Roman" w:eastAsia="Times New Roman" w:hAnsi="Times New Roman" w:cs="Times New Roman"/>
          <w:color w:val="000000"/>
          <w:sz w:val="20"/>
          <w:szCs w:val="20"/>
        </w:rPr>
        <w:t>Economie</w:t>
      </w:r>
      <w:proofErr w:type="spellEnd"/>
      <w:r>
        <w:rPr>
          <w:rFonts w:ascii="Times New Roman" w:eastAsia="Times New Roman" w:hAnsi="Times New Roman" w:cs="Times New Roman"/>
          <w:color w:val="000000"/>
          <w:sz w:val="20"/>
          <w:szCs w:val="20"/>
        </w:rPr>
        <w:t xml:space="preserve"> Politique. </w:t>
      </w:r>
      <w:proofErr w:type="spellStart"/>
      <w:r>
        <w:rPr>
          <w:rFonts w:ascii="Times New Roman" w:eastAsia="Times New Roman" w:hAnsi="Times New Roman" w:cs="Times New Roman"/>
          <w:color w:val="000000"/>
          <w:sz w:val="20"/>
          <w:szCs w:val="20"/>
        </w:rPr>
        <w:t>Traduction</w:t>
      </w:r>
      <w:proofErr w:type="spellEnd"/>
      <w:r>
        <w:rPr>
          <w:rFonts w:ascii="Times New Roman" w:eastAsia="Times New Roman" w:hAnsi="Times New Roman" w:cs="Times New Roman"/>
          <w:color w:val="000000"/>
          <w:sz w:val="20"/>
          <w:szCs w:val="20"/>
        </w:rPr>
        <w:t xml:space="preserve"> de M,: Erna </w:t>
      </w:r>
      <w:proofErr w:type="spellStart"/>
      <w:r>
        <w:rPr>
          <w:rFonts w:ascii="Times New Roman" w:eastAsia="Times New Roman" w:hAnsi="Times New Roman" w:cs="Times New Roman"/>
          <w:color w:val="000000"/>
          <w:sz w:val="20"/>
          <w:szCs w:val="20"/>
        </w:rPr>
        <w:t>Cogniot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les</w:t>
      </w:r>
      <w:proofErr w:type="spellEnd"/>
      <w:r>
        <w:rPr>
          <w:rFonts w:ascii="Times New Roman" w:eastAsia="Times New Roman" w:hAnsi="Times New Roman" w:cs="Times New Roman"/>
          <w:color w:val="000000"/>
          <w:sz w:val="20"/>
          <w:szCs w:val="20"/>
        </w:rPr>
        <w:t xml:space="preserve"> première et </w:t>
      </w:r>
      <w:proofErr w:type="spellStart"/>
      <w:r>
        <w:rPr>
          <w:rFonts w:ascii="Times New Roman" w:eastAsia="Times New Roman" w:hAnsi="Times New Roman" w:cs="Times New Roman"/>
          <w:color w:val="000000"/>
          <w:sz w:val="20"/>
          <w:szCs w:val="20"/>
        </w:rPr>
        <w:t>deuxièm</w:t>
      </w:r>
      <w:proofErr w:type="spellEnd"/>
      <w:r>
        <w:rPr>
          <w:rFonts w:ascii="Times New Roman" w:eastAsia="Times New Roman" w:hAnsi="Times New Roman" w:cs="Times New Roman"/>
          <w:color w:val="000000"/>
          <w:sz w:val="20"/>
          <w:szCs w:val="20"/>
        </w:rPr>
        <w:t xml:space="preserve"> e </w:t>
      </w:r>
      <w:proofErr w:type="spellStart"/>
      <w:r>
        <w:rPr>
          <w:rFonts w:ascii="Times New Roman" w:eastAsia="Times New Roman" w:hAnsi="Times New Roman" w:cs="Times New Roman"/>
          <w:color w:val="000000"/>
          <w:sz w:val="20"/>
          <w:szCs w:val="20"/>
        </w:rPr>
        <w:t>sections</w:t>
      </w:r>
      <w:proofErr w:type="spellEnd"/>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Mrae</w:t>
      </w:r>
      <w:proofErr w:type="spellEnd"/>
      <w:r>
        <w:rPr>
          <w:rFonts w:ascii="Times New Roman" w:eastAsia="Times New Roman" w:hAnsi="Times New Roman" w:cs="Times New Roman"/>
          <w:color w:val="000000"/>
          <w:sz w:val="20"/>
          <w:szCs w:val="20"/>
        </w:rPr>
        <w:t xml:space="preserve"> Cohen-</w:t>
      </w:r>
      <w:proofErr w:type="spellStart"/>
      <w:r>
        <w:rPr>
          <w:rFonts w:ascii="Times New Roman" w:eastAsia="Times New Roman" w:hAnsi="Times New Roman" w:cs="Times New Roman"/>
          <w:color w:val="000000"/>
          <w:sz w:val="20"/>
          <w:szCs w:val="20"/>
        </w:rPr>
        <w:t>Solal</w:t>
      </w:r>
      <w:proofErr w:type="spellEnd"/>
      <w:r>
        <w:rPr>
          <w:rFonts w:ascii="Times New Roman" w:eastAsia="Times New Roman" w:hAnsi="Times New Roman" w:cs="Times New Roman"/>
          <w:color w:val="000000"/>
          <w:sz w:val="20"/>
          <w:szCs w:val="20"/>
        </w:rPr>
        <w:t xml:space="preserve"> et de M. Gilbert Badia </w:t>
      </w:r>
      <w:proofErr w:type="spellStart"/>
      <w:r>
        <w:rPr>
          <w:rFonts w:ascii="Times New Roman" w:eastAsia="Times New Roman" w:hAnsi="Times New Roman" w:cs="Times New Roman"/>
          <w:color w:val="000000"/>
          <w:sz w:val="20"/>
          <w:szCs w:val="20"/>
        </w:rPr>
        <w:t>pour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troisièm</w:t>
      </w:r>
      <w:proofErr w:type="spellEnd"/>
      <w:r>
        <w:rPr>
          <w:rFonts w:ascii="Times New Roman" w:eastAsia="Times New Roman" w:hAnsi="Times New Roman" w:cs="Times New Roman"/>
          <w:color w:val="000000"/>
          <w:sz w:val="20"/>
          <w:szCs w:val="20"/>
        </w:rPr>
        <w:t xml:space="preserve"> e </w:t>
      </w:r>
      <w:proofErr w:type="spellStart"/>
      <w:r>
        <w:rPr>
          <w:rFonts w:ascii="Times New Roman" w:eastAsia="Times New Roman" w:hAnsi="Times New Roman" w:cs="Times New Roman"/>
          <w:color w:val="000000"/>
          <w:sz w:val="20"/>
          <w:szCs w:val="20"/>
        </w:rPr>
        <w:t>section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Editons</w:t>
      </w:r>
      <w:proofErr w:type="spellEnd"/>
      <w:r>
        <w:rPr>
          <w:rFonts w:ascii="Times New Roman" w:eastAsia="Times New Roman" w:hAnsi="Times New Roman" w:cs="Times New Roman"/>
          <w:color w:val="000000"/>
          <w:sz w:val="20"/>
          <w:szCs w:val="20"/>
        </w:rPr>
        <w:t xml:space="preserve"> Sociales 146, rue </w:t>
      </w:r>
      <w:proofErr w:type="spellStart"/>
      <w:r>
        <w:rPr>
          <w:rFonts w:ascii="Times New Roman" w:eastAsia="Times New Roman" w:hAnsi="Times New Roman" w:cs="Times New Roman"/>
          <w:color w:val="000000"/>
          <w:sz w:val="20"/>
          <w:szCs w:val="20"/>
        </w:rPr>
        <w:t>du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Faubourg-Poissonnière</w:t>
      </w:r>
      <w:proofErr w:type="spellEnd"/>
      <w:r>
        <w:rPr>
          <w:rFonts w:ascii="Times New Roman" w:eastAsia="Times New Roman" w:hAnsi="Times New Roman" w:cs="Times New Roman"/>
          <w:color w:val="000000"/>
          <w:sz w:val="20"/>
          <w:szCs w:val="20"/>
        </w:rPr>
        <w:t>, 75010 Paris Service de vente: 24, rue Racine, 75006 Paris, 1977, p. 135.</w:t>
      </w:r>
    </w:p>
  </w:footnote>
  <w:footnote w:id="46">
    <w:p w14:paraId="05915DD3" w14:textId="77777777" w:rsidR="00785179" w:rsidRDefault="00785179" w:rsidP="0078517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MARX, Karl. O Capital Livro II. Editora Boitempo. São Paulo, 2008. </w:t>
      </w:r>
    </w:p>
  </w:footnote>
  <w:footnote w:id="47">
    <w:p w14:paraId="34C90F24"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Além disso, Marx revela a condição fundamental, enraizada na própria economia, da existência da forma jurídica, que é justamente a igualação dos dispêndios do trabalho segundo o princípio da troca de equivalentes, ou seja, ele descobre o profundo vínculo interno entre a forma do direito e a forma da mercadoria. Uma sociedade que, devido às condições de suas forças produtivas, é forçada a conservar a relação de equivalência entre o trabalho gasto e a remuneração, que ainda remotamente lembra a troca entre valores e mercadorias, será forçada a conservar também a forma do direito. PACHUCANIS, Evgueni. Teoria Geral do Direito e Marxismo. Editora Boitempo: 2017, p. 69. O sujeito de direito, a subjetividade jurídica, as relações jurídicas e todo arcabouço jurídico contemporâneo seriam oriundos das trocas mercantis enquanto processo histórico de generalização (que se verifica com o advento do capitalismo). Portanto, forma jurídica e forma mercadoria são indissociáveis. C</w:t>
      </w:r>
      <w:r>
        <w:rPr>
          <w:rFonts w:ascii="Times New Roman" w:eastAsia="Times New Roman" w:hAnsi="Times New Roman" w:cs="Times New Roman"/>
          <w:color w:val="000000"/>
          <w:sz w:val="20"/>
          <w:szCs w:val="20"/>
          <w:highlight w:val="white"/>
        </w:rPr>
        <w:t xml:space="preserve">ALDAS, Camilo Onoda. </w:t>
      </w:r>
      <w:proofErr w:type="spellStart"/>
      <w:r>
        <w:rPr>
          <w:rFonts w:ascii="Times New Roman" w:eastAsia="Times New Roman" w:hAnsi="Times New Roman" w:cs="Times New Roman"/>
          <w:color w:val="000000"/>
          <w:sz w:val="20"/>
          <w:szCs w:val="20"/>
          <w:highlight w:val="white"/>
        </w:rPr>
        <w:t>Pachukanis</w:t>
      </w:r>
      <w:proofErr w:type="spellEnd"/>
      <w:r>
        <w:rPr>
          <w:rFonts w:ascii="Times New Roman" w:eastAsia="Times New Roman" w:hAnsi="Times New Roman" w:cs="Times New Roman"/>
          <w:color w:val="000000"/>
          <w:sz w:val="20"/>
          <w:szCs w:val="20"/>
          <w:highlight w:val="white"/>
        </w:rPr>
        <w:t xml:space="preserve">. Enciclopédia jurídica da PUC-SP. Celso Fernandes Campilongo, </w:t>
      </w:r>
      <w:proofErr w:type="spellStart"/>
      <w:r>
        <w:rPr>
          <w:rFonts w:ascii="Times New Roman" w:eastAsia="Times New Roman" w:hAnsi="Times New Roman" w:cs="Times New Roman"/>
          <w:color w:val="000000"/>
          <w:sz w:val="20"/>
          <w:szCs w:val="20"/>
          <w:highlight w:val="white"/>
        </w:rPr>
        <w:t>Alvaro</w:t>
      </w:r>
      <w:proofErr w:type="spellEnd"/>
      <w:r>
        <w:rPr>
          <w:rFonts w:ascii="Times New Roman" w:eastAsia="Times New Roman" w:hAnsi="Times New Roman" w:cs="Times New Roman"/>
          <w:color w:val="000000"/>
          <w:sz w:val="20"/>
          <w:szCs w:val="20"/>
          <w:highlight w:val="white"/>
        </w:rPr>
        <w:t xml:space="preserve"> de Azevedo Gonzaga e André Luiz Freire (</w:t>
      </w:r>
      <w:proofErr w:type="spellStart"/>
      <w:r>
        <w:rPr>
          <w:rFonts w:ascii="Times New Roman" w:eastAsia="Times New Roman" w:hAnsi="Times New Roman" w:cs="Times New Roman"/>
          <w:color w:val="000000"/>
          <w:sz w:val="20"/>
          <w:szCs w:val="20"/>
          <w:highlight w:val="white"/>
        </w:rPr>
        <w:t>coords</w:t>
      </w:r>
      <w:proofErr w:type="spellEnd"/>
      <w:r>
        <w:rPr>
          <w:rFonts w:ascii="Times New Roman" w:eastAsia="Times New Roman" w:hAnsi="Times New Roman" w:cs="Times New Roman"/>
          <w:color w:val="000000"/>
          <w:sz w:val="20"/>
          <w:szCs w:val="20"/>
          <w:highlight w:val="white"/>
        </w:rPr>
        <w:t xml:space="preserve">.). Tomo: Teoria Geral e Filosofia do Direito. Celso Fernandes Campilongo, </w:t>
      </w:r>
      <w:proofErr w:type="spellStart"/>
      <w:r>
        <w:rPr>
          <w:rFonts w:ascii="Times New Roman" w:eastAsia="Times New Roman" w:hAnsi="Times New Roman" w:cs="Times New Roman"/>
          <w:color w:val="000000"/>
          <w:sz w:val="20"/>
          <w:szCs w:val="20"/>
          <w:highlight w:val="white"/>
        </w:rPr>
        <w:t>Alvaro</w:t>
      </w:r>
      <w:proofErr w:type="spellEnd"/>
      <w:r>
        <w:rPr>
          <w:rFonts w:ascii="Times New Roman" w:eastAsia="Times New Roman" w:hAnsi="Times New Roman" w:cs="Times New Roman"/>
          <w:color w:val="000000"/>
          <w:sz w:val="20"/>
          <w:szCs w:val="20"/>
          <w:highlight w:val="white"/>
        </w:rPr>
        <w:t xml:space="preserve"> de Azevedo Gonzaga, André Luiz Freire (coord. de tomo). 1. ed. São Paulo: Pontifícia Universidade Católica de São Paulo, 2017. Disponível em: </w:t>
      </w:r>
      <w:hyperlink r:id="rId5">
        <w:r>
          <w:rPr>
            <w:rFonts w:ascii="Times New Roman" w:eastAsia="Times New Roman" w:hAnsi="Times New Roman" w:cs="Times New Roman"/>
            <w:color w:val="000000"/>
            <w:sz w:val="20"/>
            <w:szCs w:val="20"/>
            <w:highlight w:val="white"/>
            <w:u w:val="single"/>
          </w:rPr>
          <w:t>https://enciclopediajuridica.pucsp.br/verbete/129/edicao-1/pachukanis</w:t>
        </w:r>
      </w:hyperlink>
      <w:r>
        <w:rPr>
          <w:rFonts w:ascii="Times New Roman" w:eastAsia="Times New Roman" w:hAnsi="Times New Roman" w:cs="Times New Roman"/>
          <w:color w:val="000000"/>
          <w:sz w:val="20"/>
          <w:szCs w:val="20"/>
        </w:rPr>
        <w:t xml:space="preserve">. Acesso em: 15 de junho de 2024. </w:t>
      </w:r>
    </w:p>
  </w:footnote>
  <w:footnote w:id="48">
    <w:p w14:paraId="2056A75B"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FOUCAULT, Michel. As Malhas do Poder. 1.ª parte: trad. P.W. Prado Jr.; Conferência pronunciada na Faculdade de Filosofia da Universidade da Bahia (1976). Barbárie, n. 4, verão de 1981, p. 174. </w:t>
      </w:r>
    </w:p>
  </w:footnote>
  <w:footnote w:id="49">
    <w:p w14:paraId="375F0847"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Quando se consideram tais transformações, convém distinguir sempre a transformação material das condições econômicas de produção - que podem ser verificadas fielmente com ajuda das ciências físicas e naturais - e as formas jurídicas, políticas, religiosas, artísticas ou filosóficas, em resumo, as formas ideológicas sob as quais os homens adquirem consciência desse conflito e o levam até o fim. Do mesmo modo que não se julga o indivíduo pela </w:t>
      </w:r>
      <w:proofErr w:type="spellStart"/>
      <w:r>
        <w:rPr>
          <w:rFonts w:ascii="Times New Roman" w:eastAsia="Times New Roman" w:hAnsi="Times New Roman" w:cs="Times New Roman"/>
          <w:color w:val="000000"/>
          <w:sz w:val="20"/>
          <w:szCs w:val="20"/>
        </w:rPr>
        <w:t>idéia</w:t>
      </w:r>
      <w:proofErr w:type="spellEnd"/>
      <w:r>
        <w:rPr>
          <w:rFonts w:ascii="Times New Roman" w:eastAsia="Times New Roman" w:hAnsi="Times New Roman" w:cs="Times New Roman"/>
          <w:color w:val="000000"/>
          <w:sz w:val="20"/>
          <w:szCs w:val="20"/>
        </w:rPr>
        <w:t xml:space="preserve"> que de si mesmo faz, tampouco se pode julgar tal época de transformações pela consciência que ela tem de si mesma. E preciso, ao contrário, explicar essa consciência pelas contradições da vida material, pelo conflito que existe entre as forças produtivas sociais e as relações de produção. MARX, Karl. Contribuição à crítica da economia política. Tradução e introdução de Florestan Fernandes. 2 . </w:t>
      </w:r>
      <w:proofErr w:type="spellStart"/>
      <w:r>
        <w:rPr>
          <w:rFonts w:ascii="Times New Roman" w:eastAsia="Times New Roman" w:hAnsi="Times New Roman" w:cs="Times New Roman"/>
          <w:color w:val="000000"/>
          <w:sz w:val="20"/>
          <w:szCs w:val="20"/>
        </w:rPr>
        <w:t>ed</w:t>
      </w:r>
      <w:proofErr w:type="spellEnd"/>
      <w:r>
        <w:rPr>
          <w:rFonts w:ascii="Times New Roman" w:eastAsia="Times New Roman" w:hAnsi="Times New Roman" w:cs="Times New Roman"/>
          <w:color w:val="000000"/>
          <w:sz w:val="20"/>
          <w:szCs w:val="20"/>
        </w:rPr>
        <w:t xml:space="preserve"> . – São Paulo: Expressão Popular, 2008, p.23-24.</w:t>
      </w:r>
    </w:p>
  </w:footnote>
  <w:footnote w:id="50">
    <w:p w14:paraId="53CD6ACD" w14:textId="77777777" w:rsidR="00785179" w:rsidRDefault="00785179" w:rsidP="00785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 que importa é o seu funcionamento. Instituições privadas podem perfeitamente funcionar como Aparelhos Ideológicos de Estado. Uma análise pouco mais profunda de qualquer dos </w:t>
      </w:r>
      <w:proofErr w:type="spellStart"/>
      <w:r>
        <w:rPr>
          <w:rFonts w:ascii="Times New Roman" w:eastAsia="Times New Roman" w:hAnsi="Times New Roman" w:cs="Times New Roman"/>
          <w:color w:val="000000"/>
          <w:sz w:val="20"/>
          <w:szCs w:val="20"/>
        </w:rPr>
        <w:t>AlE</w:t>
      </w:r>
      <w:proofErr w:type="spellEnd"/>
      <w:r>
        <w:rPr>
          <w:rFonts w:ascii="Times New Roman" w:eastAsia="Times New Roman" w:hAnsi="Times New Roman" w:cs="Times New Roman"/>
          <w:color w:val="000000"/>
          <w:sz w:val="20"/>
          <w:szCs w:val="20"/>
        </w:rPr>
        <w:t xml:space="preserve"> seria suficiente. O que distingue os </w:t>
      </w:r>
      <w:proofErr w:type="spellStart"/>
      <w:r>
        <w:rPr>
          <w:rFonts w:ascii="Times New Roman" w:eastAsia="Times New Roman" w:hAnsi="Times New Roman" w:cs="Times New Roman"/>
          <w:color w:val="000000"/>
          <w:sz w:val="20"/>
          <w:szCs w:val="20"/>
        </w:rPr>
        <w:t>AlE</w:t>
      </w:r>
      <w:proofErr w:type="spellEnd"/>
      <w:r>
        <w:rPr>
          <w:rFonts w:ascii="Times New Roman" w:eastAsia="Times New Roman" w:hAnsi="Times New Roman" w:cs="Times New Roman"/>
          <w:color w:val="000000"/>
          <w:sz w:val="20"/>
          <w:szCs w:val="20"/>
        </w:rPr>
        <w:t xml:space="preserve"> do Aparelho (repressivo) de Estado, é a diferença fundamental seguinte: o Aparelho repressivo de Estado funciona pela violência, enquanto os Aparelhos Ideológicos de Estado funcionam pela ideologia. ALTHUSSER, Louis. Aparelhos Ideológicos do Estado. Disponível em: </w:t>
      </w:r>
      <w:hyperlink r:id="rId6">
        <w:r>
          <w:rPr>
            <w:rFonts w:ascii="Times New Roman" w:eastAsia="Times New Roman" w:hAnsi="Times New Roman" w:cs="Times New Roman"/>
            <w:color w:val="000000"/>
            <w:sz w:val="20"/>
            <w:szCs w:val="20"/>
            <w:u w:val="single"/>
          </w:rPr>
          <w:t>https://edisciplinas.usp.br/mod/resource/view.php?id=4705568&amp;forceview=1</w:t>
        </w:r>
      </w:hyperlink>
      <w:r>
        <w:rPr>
          <w:rFonts w:ascii="Times New Roman" w:eastAsia="Times New Roman" w:hAnsi="Times New Roman" w:cs="Times New Roman"/>
          <w:color w:val="000000"/>
          <w:sz w:val="20"/>
          <w:szCs w:val="20"/>
        </w:rPr>
        <w:t xml:space="preserve">. Acesso em: 16 de junho de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BC5C27" w14:textId="7BCA529D" w:rsidR="00026B5B" w:rsidRPr="00053E7A" w:rsidRDefault="00026B5B" w:rsidP="00026B5B">
    <w:pPr>
      <w:pStyle w:val="Cabealho"/>
      <w:tabs>
        <w:tab w:val="clear" w:pos="8504"/>
        <w:tab w:val="right" w:pos="8789"/>
      </w:tabs>
      <w:spacing w:after="0" w:line="240" w:lineRule="auto"/>
      <w:ind w:left="-426"/>
      <w:jc w:val="center"/>
      <w:rPr>
        <w:rFonts w:ascii="Arial" w:hAnsi="Arial" w:cs="Arial"/>
        <w:sz w:val="24"/>
        <w:szCs w:val="24"/>
      </w:rPr>
    </w:pPr>
    <w:r w:rsidRPr="00053E7A">
      <w:rPr>
        <w:rFonts w:ascii="Arial" w:hAnsi="Arial" w:cs="Arial"/>
        <w:sz w:val="24"/>
        <w:szCs w:val="24"/>
        <w:lang w:val="pt-PT"/>
      </w:rPr>
      <w:t xml:space="preserve"> </w:t>
    </w:r>
    <w:r w:rsidRPr="00053E7A">
      <w:rPr>
        <w:rFonts w:ascii="Arial" w:hAnsi="Arial" w:cs="Arial"/>
        <w:b/>
        <w:i/>
        <w:sz w:val="24"/>
        <w:szCs w:val="24"/>
        <w:lang w:val="pt-PT"/>
      </w:rPr>
      <w:t xml:space="preserve">Direito e Linguagem </w:t>
    </w:r>
    <w:r w:rsidRPr="00053E7A">
      <w:rPr>
        <w:rFonts w:ascii="Arial" w:hAnsi="Arial" w:cs="Arial"/>
        <w:sz w:val="24"/>
        <w:szCs w:val="24"/>
        <w:lang w:val="pt-PT"/>
      </w:rPr>
      <w:t xml:space="preserve"> nº </w:t>
    </w:r>
    <w:r w:rsidR="00322D78">
      <w:rPr>
        <w:rFonts w:ascii="Arial" w:hAnsi="Arial" w:cs="Arial"/>
        <w:sz w:val="24"/>
        <w:szCs w:val="24"/>
        <w:lang w:val="pt-PT"/>
      </w:rPr>
      <w:t>2</w:t>
    </w:r>
    <w:r>
      <w:rPr>
        <w:rFonts w:ascii="Arial" w:hAnsi="Arial" w:cs="Arial"/>
        <w:sz w:val="24"/>
        <w:szCs w:val="24"/>
        <w:lang w:val="pt-PT"/>
      </w:rPr>
      <w:t xml:space="preserve">, vol. </w:t>
    </w:r>
    <w:r w:rsidR="007C6F1D">
      <w:rPr>
        <w:rFonts w:ascii="Arial" w:hAnsi="Arial" w:cs="Arial"/>
        <w:sz w:val="24"/>
        <w:szCs w:val="24"/>
        <w:lang w:val="pt-PT"/>
      </w:rPr>
      <w:t>6</w:t>
    </w:r>
    <w:r w:rsidRPr="00053E7A">
      <w:rPr>
        <w:rFonts w:ascii="Arial" w:hAnsi="Arial" w:cs="Arial"/>
        <w:sz w:val="24"/>
        <w:szCs w:val="24"/>
        <w:lang w:val="pt-PT"/>
      </w:rPr>
      <w:t>.</w:t>
    </w:r>
    <w:r w:rsidRPr="00053E7A">
      <w:rPr>
        <w:rFonts w:ascii="Arial" w:hAnsi="Arial" w:cs="Arial"/>
        <w:sz w:val="24"/>
        <w:szCs w:val="24"/>
      </w:rPr>
      <w:t xml:space="preserve"> </w:t>
    </w:r>
    <w:r w:rsidR="00322D78">
      <w:rPr>
        <w:rFonts w:ascii="Arial" w:hAnsi="Arial" w:cs="Arial"/>
        <w:sz w:val="24"/>
        <w:szCs w:val="24"/>
      </w:rPr>
      <w:t>O</w:t>
    </w:r>
    <w:r w:rsidRPr="00053E7A">
      <w:rPr>
        <w:rFonts w:ascii="Arial" w:hAnsi="Arial" w:cs="Arial"/>
        <w:sz w:val="24"/>
        <w:szCs w:val="24"/>
      </w:rPr>
      <w:t>rdinário (202</w:t>
    </w:r>
    <w:r w:rsidR="00455A9D">
      <w:rPr>
        <w:rFonts w:ascii="Arial" w:hAnsi="Arial" w:cs="Arial"/>
        <w:sz w:val="24"/>
        <w:szCs w:val="24"/>
      </w:rPr>
      <w:t>6</w:t>
    </w:r>
    <w:r w:rsidRPr="00053E7A">
      <w:rPr>
        <w:rFonts w:ascii="Arial" w:hAnsi="Arial" w:cs="Arial"/>
        <w:sz w:val="24"/>
        <w:szCs w:val="24"/>
      </w:rPr>
      <w:t xml:space="preserve">), pp. </w:t>
    </w:r>
    <w:r w:rsidR="00455A9D">
      <w:rPr>
        <w:rFonts w:ascii="Arial" w:hAnsi="Arial" w:cs="Arial"/>
        <w:sz w:val="24"/>
        <w:szCs w:val="24"/>
      </w:rPr>
      <w:t>98</w:t>
    </w:r>
    <w:r w:rsidRPr="00053E7A">
      <w:rPr>
        <w:rFonts w:ascii="Arial" w:hAnsi="Arial" w:cs="Arial"/>
        <w:sz w:val="24"/>
        <w:szCs w:val="24"/>
      </w:rPr>
      <w:t>-</w:t>
    </w:r>
    <w:r w:rsidR="00455A9D">
      <w:rPr>
        <w:rFonts w:ascii="Arial" w:hAnsi="Arial" w:cs="Arial"/>
        <w:sz w:val="24"/>
        <w:szCs w:val="24"/>
      </w:rPr>
      <w:t>124</w:t>
    </w:r>
  </w:p>
  <w:p w14:paraId="27F57AA2" w14:textId="777DA2A4" w:rsidR="00F04D5E" w:rsidRPr="00026B5B" w:rsidRDefault="00026B5B" w:rsidP="00CF373B">
    <w:pPr>
      <w:pStyle w:val="Cabealho"/>
      <w:tabs>
        <w:tab w:val="clear" w:pos="8504"/>
        <w:tab w:val="right" w:pos="8789"/>
      </w:tabs>
      <w:ind w:left="-426"/>
      <w:jc w:val="center"/>
      <w:rPr>
        <w:rFonts w:ascii="Arial" w:hAnsi="Arial" w:cs="Arial"/>
        <w:sz w:val="24"/>
        <w:szCs w:val="24"/>
      </w:rPr>
    </w:pPr>
    <w:r w:rsidRPr="00053E7A">
      <w:rPr>
        <w:rFonts w:ascii="Arial" w:hAnsi="Arial" w:cs="Arial"/>
        <w:sz w:val="24"/>
        <w:szCs w:val="24"/>
      </w:rPr>
      <w:t xml:space="preserve">·ISSN </w:t>
    </w:r>
    <w:r>
      <w:rPr>
        <w:rFonts w:ascii="Arial" w:hAnsi="Arial" w:cs="Arial"/>
        <w:sz w:val="24"/>
        <w:szCs w:val="24"/>
      </w:rPr>
      <w:t>–</w:t>
    </w:r>
    <w:r w:rsidRPr="00053E7A">
      <w:rPr>
        <w:rFonts w:ascii="Arial" w:hAnsi="Arial" w:cs="Arial"/>
        <w:sz w:val="24"/>
        <w:szCs w:val="24"/>
      </w:rPr>
      <w:t xml:space="preserve"> </w:t>
    </w:r>
    <w:r>
      <w:rPr>
        <w:rFonts w:ascii="Arial" w:hAnsi="Arial" w:cs="Arial"/>
        <w:sz w:val="24"/>
        <w:szCs w:val="24"/>
      </w:rPr>
      <w:t>3020-898X</w:t>
    </w:r>
    <w:r w:rsidRPr="00053E7A">
      <w:rPr>
        <w:rFonts w:ascii="Arial" w:hAnsi="Arial" w:cs="Arial"/>
        <w:sz w:val="24"/>
        <w:szCs w:val="24"/>
      </w:rPr>
      <w:t xml:space="preserve">  ·</w:t>
    </w:r>
    <w:r>
      <w:rPr>
        <w:rFonts w:ascii="Arial" w:hAnsi="Arial" w:cs="Arial"/>
        <w:sz w:val="24"/>
        <w:szCs w:val="24"/>
      </w:rPr>
      <w:t xml:space="preserve">DOI </w:t>
    </w:r>
    <w:r w:rsidRPr="00053E7A">
      <w:rPr>
        <w:rFonts w:ascii="Arial" w:hAnsi="Arial" w:cs="Arial"/>
        <w:sz w:val="24"/>
        <w:szCs w:val="24"/>
      </w:rPr>
      <w:t>-</w:t>
    </w:r>
    <w:r w:rsidR="00CF373B">
      <w:rPr>
        <w:rFonts w:ascii="Arial" w:hAnsi="Arial" w:cs="Arial"/>
        <w:sz w:val="24"/>
        <w:szCs w:val="24"/>
      </w:rPr>
      <w:t xml:space="preserve"> </w:t>
    </w:r>
    <w:r w:rsidR="00CF373B" w:rsidRPr="00CF373B">
      <w:rPr>
        <w:rFonts w:ascii="Arial" w:hAnsi="Arial" w:cs="Arial"/>
        <w:sz w:val="24"/>
        <w:szCs w:val="24"/>
        <w:shd w:val="clear" w:color="auto" w:fill="FFFFFF"/>
      </w:rPr>
      <w:t>10.5281/zenodo.21708865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A05415" w14:textId="61475C3B" w:rsidR="00F04D5E" w:rsidRDefault="00785179" w:rsidP="00785179">
    <w:pPr>
      <w:pStyle w:val="Cabealho"/>
      <w:tabs>
        <w:tab w:val="clear" w:pos="8504"/>
        <w:tab w:val="right" w:pos="8789"/>
      </w:tabs>
      <w:spacing w:after="0"/>
      <w:contextualSpacing/>
      <w:rPr>
        <w:rFonts w:ascii="Arial" w:hAnsi="Arial" w:cs="Arial"/>
      </w:rPr>
    </w:pPr>
    <w:r>
      <w:rPr>
        <w:rFonts w:ascii="Arial" w:hAnsi="Arial" w:cs="Arial"/>
        <w:i/>
        <w:iCs/>
      </w:rPr>
      <w:t>Marcio Bonini Notari</w:t>
    </w:r>
    <w:r w:rsidR="00026B5B">
      <w:rPr>
        <w:rFonts w:ascii="Arial" w:hAnsi="Arial" w:cs="Arial"/>
        <w:sz w:val="24"/>
        <w:szCs w:val="24"/>
      </w:rPr>
      <w:t xml:space="preserve">  </w:t>
    </w:r>
    <w:r w:rsidR="00A74222">
      <w:rPr>
        <w:rFonts w:ascii="Arial" w:hAnsi="Arial" w:cs="Arial"/>
        <w:sz w:val="24"/>
        <w:szCs w:val="24"/>
      </w:rPr>
      <w:t xml:space="preserve">                       </w:t>
    </w:r>
    <w:r w:rsidR="00026B5B">
      <w:rPr>
        <w:rFonts w:ascii="Arial" w:hAnsi="Arial" w:cs="Arial"/>
        <w:sz w:val="24"/>
        <w:szCs w:val="24"/>
      </w:rPr>
      <w:t xml:space="preserve"> </w:t>
    </w:r>
    <w:r w:rsidR="000D0C7E">
      <w:rPr>
        <w:rFonts w:ascii="Arial" w:hAnsi="Arial" w:cs="Arial"/>
        <w:sz w:val="24"/>
        <w:szCs w:val="24"/>
      </w:rPr>
      <w:t xml:space="preserve">  </w:t>
    </w:r>
    <w:r w:rsidR="00026B5B">
      <w:rPr>
        <w:rFonts w:ascii="Arial" w:hAnsi="Arial" w:cs="Arial"/>
        <w:sz w:val="24"/>
        <w:szCs w:val="24"/>
      </w:rPr>
      <w:t xml:space="preserve"> </w:t>
    </w:r>
    <w:r w:rsidR="00026B5B" w:rsidRPr="00455A9D">
      <w:rPr>
        <w:rFonts w:ascii="Arial" w:hAnsi="Arial" w:cs="Arial"/>
        <w:noProof/>
        <w:sz w:val="20"/>
        <w:szCs w:val="20"/>
      </w:rPr>
      <w:drawing>
        <wp:inline distT="0" distB="0" distL="0" distR="0" wp14:anchorId="3F59F5D3" wp14:editId="7938791D">
          <wp:extent cx="338513" cy="213851"/>
          <wp:effectExtent l="0" t="0" r="4445" b="2540"/>
          <wp:docPr id="312854640" name="Imagem 31285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69231" cy="233257"/>
                  </a:xfrm>
                  <a:prstGeom prst="rect">
                    <a:avLst/>
                  </a:prstGeom>
                </pic:spPr>
              </pic:pic>
            </a:graphicData>
          </a:graphic>
        </wp:inline>
      </w:drawing>
    </w:r>
    <w:r w:rsidR="00026B5B" w:rsidRPr="00455A9D">
      <w:rPr>
        <w:rFonts w:ascii="Arial" w:hAnsi="Arial" w:cs="Arial"/>
        <w:sz w:val="24"/>
        <w:szCs w:val="24"/>
      </w:rPr>
      <w:t xml:space="preserve">       </w:t>
    </w:r>
    <w:r w:rsidR="000D0C7E" w:rsidRPr="00455A9D">
      <w:rPr>
        <w:rFonts w:ascii="Arial" w:hAnsi="Arial" w:cs="Arial"/>
        <w:sz w:val="24"/>
        <w:szCs w:val="24"/>
      </w:rPr>
      <w:t xml:space="preserve">        </w:t>
    </w:r>
    <w:r w:rsidR="00026B5B" w:rsidRPr="00455A9D">
      <w:rPr>
        <w:rFonts w:ascii="Arial" w:hAnsi="Arial" w:cs="Arial"/>
        <w:sz w:val="24"/>
        <w:szCs w:val="24"/>
      </w:rPr>
      <w:t xml:space="preserve">   </w:t>
    </w:r>
    <w:r w:rsidR="00A74222" w:rsidRPr="00455A9D">
      <w:rPr>
        <w:rFonts w:ascii="Arial" w:hAnsi="Arial" w:cs="Arial"/>
        <w:sz w:val="24"/>
        <w:szCs w:val="24"/>
      </w:rPr>
      <w:t xml:space="preserve">     </w:t>
    </w:r>
    <w:r w:rsidR="00026B5B" w:rsidRPr="00455A9D">
      <w:rPr>
        <w:rFonts w:ascii="Arial" w:hAnsi="Arial" w:cs="Arial"/>
        <w:sz w:val="24"/>
        <w:szCs w:val="24"/>
      </w:rPr>
      <w:t xml:space="preserve"> </w:t>
    </w:r>
    <w:r w:rsidR="00455A9D">
      <w:rPr>
        <w:rFonts w:ascii="Arial" w:hAnsi="Arial" w:cs="Arial"/>
        <w:sz w:val="24"/>
        <w:szCs w:val="24"/>
      </w:rPr>
      <w:t>O</w:t>
    </w:r>
    <w:r w:rsidR="00455A9D" w:rsidRPr="00455A9D">
      <w:rPr>
        <w:rFonts w:ascii="Arial" w:eastAsia="Times New Roman" w:hAnsi="Arial" w:cs="Arial"/>
        <w:sz w:val="24"/>
        <w:szCs w:val="24"/>
      </w:rPr>
      <w:t xml:space="preserve"> </w:t>
    </w:r>
    <w:proofErr w:type="spellStart"/>
    <w:r w:rsidR="00455A9D" w:rsidRPr="00455A9D">
      <w:rPr>
        <w:rFonts w:ascii="Arial" w:eastAsia="Times New Roman" w:hAnsi="Arial" w:cs="Arial"/>
        <w:sz w:val="24"/>
        <w:szCs w:val="24"/>
      </w:rPr>
      <w:t>edificio</w:t>
    </w:r>
    <w:proofErr w:type="spellEnd"/>
    <w:r w:rsidR="00455A9D" w:rsidRPr="00455A9D">
      <w:rPr>
        <w:rFonts w:ascii="Arial" w:eastAsia="Times New Roman" w:hAnsi="Arial" w:cs="Arial"/>
        <w:sz w:val="24"/>
        <w:szCs w:val="24"/>
      </w:rPr>
      <w:t xml:space="preserve"> da teoria</w:t>
    </w:r>
    <w:r w:rsidR="00455A9D" w:rsidRPr="0040766B">
      <w:rPr>
        <w:rFonts w:ascii="Arial" w:eastAsia="Times New Roman" w:hAnsi="Arial" w:cs="Arial"/>
        <w:b/>
        <w:bCs/>
        <w:sz w:val="24"/>
        <w:szCs w:val="24"/>
      </w:rPr>
      <w:t xml:space="preserve"> </w:t>
    </w:r>
    <w:r w:rsidR="00026B5B" w:rsidRPr="000D0C7E">
      <w:rPr>
        <w:rFonts w:ascii="Arial" w:hAnsi="Arial" w:cs="Arial"/>
      </w:rPr>
      <w:t>(...)</w:t>
    </w:r>
  </w:p>
  <w:p w14:paraId="4BE5C830" w14:textId="1BBF0E2C" w:rsidR="00785179" w:rsidRDefault="00785179" w:rsidP="00785179">
    <w:pPr>
      <w:pStyle w:val="Cabealho"/>
      <w:tabs>
        <w:tab w:val="clear" w:pos="8504"/>
        <w:tab w:val="right" w:pos="8789"/>
      </w:tabs>
      <w:spacing w:after="0"/>
      <w:contextualSpacing/>
      <w:rPr>
        <w:rFonts w:ascii="Arial" w:hAnsi="Arial" w:cs="Arial"/>
        <w:i/>
        <w:iCs/>
      </w:rPr>
    </w:pPr>
    <w:r>
      <w:rPr>
        <w:rFonts w:ascii="Arial" w:hAnsi="Arial" w:cs="Arial"/>
        <w:i/>
        <w:iCs/>
      </w:rPr>
      <w:t>Sarah Gonçalves Ribeiro</w:t>
    </w:r>
  </w:p>
  <w:p w14:paraId="6162335F" w14:textId="77777777" w:rsidR="00455A9D" w:rsidRPr="00F14C53" w:rsidRDefault="00455A9D" w:rsidP="00785179">
    <w:pPr>
      <w:pStyle w:val="Cabealho"/>
      <w:tabs>
        <w:tab w:val="clear" w:pos="8504"/>
        <w:tab w:val="right" w:pos="8789"/>
      </w:tabs>
      <w:spacing w:after="0"/>
      <w:contextualSpacing/>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35DF81" w14:textId="4D55051F" w:rsidR="00F14C53" w:rsidRDefault="00F14C53" w:rsidP="00F04D5E">
    <w:pPr>
      <w:pStyle w:val="Cabealho"/>
      <w:tabs>
        <w:tab w:val="clear" w:pos="8504"/>
        <w:tab w:val="right" w:pos="8789"/>
      </w:tabs>
      <w:spacing w:after="0" w:line="240" w:lineRule="auto"/>
      <w:ind w:left="-426"/>
      <w:jc w:val="center"/>
      <w:rPr>
        <w:rFonts w:ascii="Arial" w:hAnsi="Arial" w:cs="Arial"/>
        <w:sz w:val="24"/>
        <w:szCs w:val="24"/>
        <w:lang w:val="pt-PT"/>
      </w:rPr>
    </w:pPr>
    <w:r w:rsidRPr="00D2789F">
      <w:rPr>
        <w:noProof/>
      </w:rPr>
      <w:drawing>
        <wp:inline distT="0" distB="0" distL="0" distR="0" wp14:anchorId="51B248E8" wp14:editId="3FA3D388">
          <wp:extent cx="1462941" cy="924193"/>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87095" cy="939452"/>
                  </a:xfrm>
                  <a:prstGeom prst="rect">
                    <a:avLst/>
                  </a:prstGeom>
                </pic:spPr>
              </pic:pic>
            </a:graphicData>
          </a:graphic>
        </wp:inline>
      </w:drawing>
    </w:r>
  </w:p>
  <w:p w14:paraId="17D7D00B" w14:textId="77777777" w:rsidR="00F14C53" w:rsidRDefault="00F14C53" w:rsidP="00F14C53">
    <w:pPr>
      <w:pStyle w:val="Cabealho"/>
      <w:tabs>
        <w:tab w:val="clear" w:pos="8504"/>
        <w:tab w:val="right" w:pos="8789"/>
      </w:tabs>
      <w:spacing w:after="0" w:line="240" w:lineRule="auto"/>
      <w:rPr>
        <w:rFonts w:ascii="Arial" w:hAnsi="Arial" w:cs="Arial"/>
        <w:sz w:val="24"/>
        <w:szCs w:val="24"/>
        <w:lang w:val="pt-PT"/>
      </w:rPr>
    </w:pPr>
  </w:p>
  <w:p w14:paraId="3D6AD5C7" w14:textId="2901EBCF" w:rsidR="00F04D5E" w:rsidRPr="00053E7A" w:rsidRDefault="00F04D5E" w:rsidP="00F04D5E">
    <w:pPr>
      <w:pStyle w:val="Cabealho"/>
      <w:tabs>
        <w:tab w:val="clear" w:pos="8504"/>
        <w:tab w:val="right" w:pos="8789"/>
      </w:tabs>
      <w:spacing w:after="0" w:line="240" w:lineRule="auto"/>
      <w:ind w:left="-426"/>
      <w:jc w:val="center"/>
      <w:rPr>
        <w:rFonts w:ascii="Arial" w:hAnsi="Arial" w:cs="Arial"/>
        <w:sz w:val="24"/>
        <w:szCs w:val="24"/>
      </w:rPr>
    </w:pPr>
    <w:r w:rsidRPr="00053E7A">
      <w:rPr>
        <w:rFonts w:ascii="Arial" w:hAnsi="Arial" w:cs="Arial"/>
        <w:sz w:val="24"/>
        <w:szCs w:val="24"/>
        <w:lang w:val="pt-PT"/>
      </w:rPr>
      <w:t xml:space="preserve"> </w:t>
    </w:r>
    <w:r w:rsidR="00053E7A" w:rsidRPr="00053E7A">
      <w:rPr>
        <w:rFonts w:ascii="Arial" w:hAnsi="Arial" w:cs="Arial"/>
        <w:b/>
        <w:i/>
        <w:sz w:val="24"/>
        <w:szCs w:val="24"/>
        <w:lang w:val="pt-PT"/>
      </w:rPr>
      <w:t xml:space="preserve">Direito e Linguagem </w:t>
    </w:r>
    <w:r w:rsidRPr="00053E7A">
      <w:rPr>
        <w:rFonts w:ascii="Arial" w:hAnsi="Arial" w:cs="Arial"/>
        <w:sz w:val="24"/>
        <w:szCs w:val="24"/>
        <w:lang w:val="pt-PT"/>
      </w:rPr>
      <w:t xml:space="preserve"> </w:t>
    </w:r>
    <w:r w:rsidR="001630E5" w:rsidRPr="00053E7A">
      <w:rPr>
        <w:rFonts w:ascii="Arial" w:hAnsi="Arial" w:cs="Arial"/>
        <w:sz w:val="24"/>
        <w:szCs w:val="24"/>
        <w:lang w:val="pt-PT"/>
      </w:rPr>
      <w:t>n</w:t>
    </w:r>
    <w:r w:rsidRPr="00053E7A">
      <w:rPr>
        <w:rFonts w:ascii="Arial" w:hAnsi="Arial" w:cs="Arial"/>
        <w:sz w:val="24"/>
        <w:szCs w:val="24"/>
        <w:lang w:val="pt-PT"/>
      </w:rPr>
      <w:t xml:space="preserve">º </w:t>
    </w:r>
    <w:r w:rsidR="001D3ABA">
      <w:rPr>
        <w:rFonts w:ascii="Arial" w:hAnsi="Arial" w:cs="Arial"/>
        <w:sz w:val="24"/>
        <w:szCs w:val="24"/>
        <w:lang w:val="pt-PT"/>
      </w:rPr>
      <w:t>6</w:t>
    </w:r>
    <w:r w:rsidR="00F14C53">
      <w:rPr>
        <w:rFonts w:ascii="Arial" w:hAnsi="Arial" w:cs="Arial"/>
        <w:sz w:val="24"/>
        <w:szCs w:val="24"/>
        <w:lang w:val="pt-PT"/>
      </w:rPr>
      <w:t xml:space="preserve">, vol. </w:t>
    </w:r>
    <w:r w:rsidR="001D3ABA">
      <w:rPr>
        <w:rFonts w:ascii="Arial" w:hAnsi="Arial" w:cs="Arial"/>
        <w:sz w:val="24"/>
        <w:szCs w:val="24"/>
        <w:lang w:val="pt-PT"/>
      </w:rPr>
      <w:t>2</w:t>
    </w:r>
    <w:r w:rsidRPr="00053E7A">
      <w:rPr>
        <w:rFonts w:ascii="Arial" w:hAnsi="Arial" w:cs="Arial"/>
        <w:sz w:val="24"/>
        <w:szCs w:val="24"/>
        <w:lang w:val="pt-PT"/>
      </w:rPr>
      <w:t>.</w:t>
    </w:r>
    <w:r w:rsidRPr="00053E7A">
      <w:rPr>
        <w:rFonts w:ascii="Arial" w:hAnsi="Arial" w:cs="Arial"/>
        <w:sz w:val="24"/>
        <w:szCs w:val="24"/>
      </w:rPr>
      <w:t xml:space="preserve"> </w:t>
    </w:r>
    <w:r w:rsidR="00322D78">
      <w:rPr>
        <w:rFonts w:ascii="Arial" w:hAnsi="Arial" w:cs="Arial"/>
        <w:sz w:val="24"/>
        <w:szCs w:val="24"/>
      </w:rPr>
      <w:t>O</w:t>
    </w:r>
    <w:r w:rsidR="008B2731" w:rsidRPr="00053E7A">
      <w:rPr>
        <w:rFonts w:ascii="Arial" w:hAnsi="Arial" w:cs="Arial"/>
        <w:sz w:val="24"/>
        <w:szCs w:val="24"/>
      </w:rPr>
      <w:t>r</w:t>
    </w:r>
    <w:r w:rsidR="004A49F5" w:rsidRPr="00053E7A">
      <w:rPr>
        <w:rFonts w:ascii="Arial" w:hAnsi="Arial" w:cs="Arial"/>
        <w:sz w:val="24"/>
        <w:szCs w:val="24"/>
      </w:rPr>
      <w:t>dinário</w:t>
    </w:r>
    <w:r w:rsidRPr="00053E7A">
      <w:rPr>
        <w:rFonts w:ascii="Arial" w:hAnsi="Arial" w:cs="Arial"/>
        <w:sz w:val="24"/>
        <w:szCs w:val="24"/>
      </w:rPr>
      <w:t xml:space="preserve"> (</w:t>
    </w:r>
    <w:r w:rsidR="00491227" w:rsidRPr="00053E7A">
      <w:rPr>
        <w:rFonts w:ascii="Arial" w:hAnsi="Arial" w:cs="Arial"/>
        <w:sz w:val="24"/>
        <w:szCs w:val="24"/>
      </w:rPr>
      <w:t>202</w:t>
    </w:r>
    <w:r w:rsidR="00CF373B">
      <w:rPr>
        <w:rFonts w:ascii="Arial" w:hAnsi="Arial" w:cs="Arial"/>
        <w:sz w:val="24"/>
        <w:szCs w:val="24"/>
      </w:rPr>
      <w:t>6</w:t>
    </w:r>
    <w:r w:rsidRPr="00053E7A">
      <w:rPr>
        <w:rFonts w:ascii="Arial" w:hAnsi="Arial" w:cs="Arial"/>
        <w:sz w:val="24"/>
        <w:szCs w:val="24"/>
      </w:rPr>
      <w:t xml:space="preserve">), pp. </w:t>
    </w:r>
    <w:r w:rsidR="00F44328">
      <w:rPr>
        <w:rFonts w:ascii="Arial" w:hAnsi="Arial" w:cs="Arial"/>
        <w:sz w:val="24"/>
        <w:szCs w:val="24"/>
      </w:rPr>
      <w:t>98</w:t>
    </w:r>
    <w:r w:rsidRPr="00053E7A">
      <w:rPr>
        <w:rFonts w:ascii="Arial" w:hAnsi="Arial" w:cs="Arial"/>
        <w:sz w:val="24"/>
        <w:szCs w:val="24"/>
      </w:rPr>
      <w:t>-</w:t>
    </w:r>
    <w:r w:rsidR="00455A9D">
      <w:rPr>
        <w:rFonts w:ascii="Arial" w:hAnsi="Arial" w:cs="Arial"/>
        <w:sz w:val="24"/>
        <w:szCs w:val="24"/>
      </w:rPr>
      <w:t>124</w:t>
    </w:r>
  </w:p>
  <w:p w14:paraId="46980D95" w14:textId="6F0DB48C" w:rsidR="00F04D5E" w:rsidRPr="00053E7A" w:rsidRDefault="00F04D5E" w:rsidP="00F04D5E">
    <w:pPr>
      <w:pStyle w:val="Cabealho"/>
      <w:tabs>
        <w:tab w:val="clear" w:pos="8504"/>
        <w:tab w:val="right" w:pos="8789"/>
      </w:tabs>
      <w:ind w:left="-426"/>
      <w:jc w:val="center"/>
      <w:rPr>
        <w:rFonts w:ascii="Arial" w:hAnsi="Arial" w:cs="Arial"/>
        <w:sz w:val="24"/>
        <w:szCs w:val="24"/>
      </w:rPr>
    </w:pPr>
    <w:r w:rsidRPr="00053E7A">
      <w:rPr>
        <w:rFonts w:ascii="Arial" w:hAnsi="Arial" w:cs="Arial"/>
        <w:sz w:val="24"/>
        <w:szCs w:val="24"/>
      </w:rPr>
      <w:t xml:space="preserve">·ISSN </w:t>
    </w:r>
    <w:r w:rsidR="002836ED">
      <w:rPr>
        <w:rFonts w:ascii="Arial" w:hAnsi="Arial" w:cs="Arial"/>
        <w:sz w:val="24"/>
        <w:szCs w:val="24"/>
      </w:rPr>
      <w:t>–</w:t>
    </w:r>
    <w:r w:rsidRPr="00053E7A">
      <w:rPr>
        <w:rFonts w:ascii="Arial" w:hAnsi="Arial" w:cs="Arial"/>
        <w:sz w:val="24"/>
        <w:szCs w:val="24"/>
      </w:rPr>
      <w:t xml:space="preserve"> </w:t>
    </w:r>
    <w:r w:rsidR="002836ED">
      <w:rPr>
        <w:rFonts w:ascii="Arial" w:hAnsi="Arial" w:cs="Arial"/>
        <w:sz w:val="24"/>
        <w:szCs w:val="24"/>
      </w:rPr>
      <w:t>3020-898X</w:t>
    </w:r>
    <w:r w:rsidRPr="00053E7A">
      <w:rPr>
        <w:rFonts w:ascii="Arial" w:hAnsi="Arial" w:cs="Arial"/>
        <w:sz w:val="24"/>
        <w:szCs w:val="24"/>
      </w:rPr>
      <w:t xml:space="preserve">  ·</w:t>
    </w:r>
    <w:r w:rsidR="00F14C53">
      <w:rPr>
        <w:rFonts w:ascii="Arial" w:hAnsi="Arial" w:cs="Arial"/>
        <w:sz w:val="24"/>
        <w:szCs w:val="24"/>
      </w:rPr>
      <w:t xml:space="preserve">DOI </w:t>
    </w:r>
    <w:r w:rsidR="00F14C53" w:rsidRPr="00053E7A">
      <w:rPr>
        <w:rFonts w:ascii="Arial" w:hAnsi="Arial" w:cs="Arial"/>
        <w:sz w:val="24"/>
        <w:szCs w:val="24"/>
      </w:rPr>
      <w:t>-</w:t>
    </w:r>
    <w:r w:rsidR="00CF373B">
      <w:rPr>
        <w:rFonts w:ascii="Arial" w:hAnsi="Arial" w:cs="Arial"/>
        <w:sz w:val="24"/>
        <w:szCs w:val="24"/>
      </w:rPr>
      <w:t xml:space="preserve"> </w:t>
    </w:r>
    <w:r w:rsidR="00CF373B" w:rsidRPr="00CF373B">
      <w:rPr>
        <w:rFonts w:ascii="Arial" w:hAnsi="Arial" w:cs="Arial"/>
        <w:sz w:val="24"/>
        <w:szCs w:val="24"/>
        <w:shd w:val="clear" w:color="auto" w:fill="FFFFFF"/>
      </w:rPr>
      <w:t>10.5281/zenodo.21708865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008D1"/>
    <w:multiLevelType w:val="multilevel"/>
    <w:tmpl w:val="AB58C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6EA5F4E"/>
    <w:multiLevelType w:val="hybridMultilevel"/>
    <w:tmpl w:val="E77063BE"/>
    <w:lvl w:ilvl="0" w:tplc="166CA072">
      <w:numFmt w:val="bullet"/>
      <w:lvlText w:val=""/>
      <w:lvlJc w:val="left"/>
      <w:pPr>
        <w:ind w:left="1068" w:hanging="360"/>
      </w:pPr>
      <w:rPr>
        <w:rFonts w:ascii="Symbol" w:eastAsia="Times New Roman"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096B7E00"/>
    <w:multiLevelType w:val="hybridMultilevel"/>
    <w:tmpl w:val="670244F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20633872"/>
    <w:multiLevelType w:val="hybridMultilevel"/>
    <w:tmpl w:val="28FEDC6C"/>
    <w:lvl w:ilvl="0" w:tplc="6C6E1F46">
      <w:numFmt w:val="bullet"/>
      <w:lvlText w:val=""/>
      <w:lvlJc w:val="left"/>
      <w:pPr>
        <w:ind w:left="1065" w:hanging="360"/>
      </w:pPr>
      <w:rPr>
        <w:rFonts w:ascii="Symbol" w:eastAsia="Calibri" w:hAnsi="Symbol" w:cs="Times New Roman"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4" w15:restartNumberingAfterBreak="0">
    <w:nsid w:val="23D25726"/>
    <w:multiLevelType w:val="hybridMultilevel"/>
    <w:tmpl w:val="B25017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951655"/>
    <w:multiLevelType w:val="multilevel"/>
    <w:tmpl w:val="F5D697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6" w15:restartNumberingAfterBreak="0">
    <w:nsid w:val="29920F8D"/>
    <w:multiLevelType w:val="hybridMultilevel"/>
    <w:tmpl w:val="235617AE"/>
    <w:lvl w:ilvl="0" w:tplc="182A461C">
      <w:start w:val="1"/>
      <w:numFmt w:val="decimal"/>
      <w:lvlText w:val="%1."/>
      <w:lvlJc w:val="left"/>
      <w:pPr>
        <w:ind w:left="1080" w:hanging="360"/>
      </w:pPr>
      <w:rPr>
        <w:rFonts w:hint="default"/>
        <w:b/>
        <w:color w:val="365F9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2F965620"/>
    <w:multiLevelType w:val="hybridMultilevel"/>
    <w:tmpl w:val="194E1CA4"/>
    <w:lvl w:ilvl="0" w:tplc="1786C244">
      <w:start w:val="1"/>
      <w:numFmt w:val="decimal"/>
      <w:lvlText w:val="%1."/>
      <w:lvlJc w:val="left"/>
      <w:pPr>
        <w:ind w:left="720" w:hanging="360"/>
      </w:pPr>
      <w:rPr>
        <w:rFonts w:hint="default"/>
        <w:b/>
        <w:bCs/>
        <w:strike w:val="0"/>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29072FA"/>
    <w:multiLevelType w:val="hybridMultilevel"/>
    <w:tmpl w:val="D75C79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43E6E1F"/>
    <w:multiLevelType w:val="hybridMultilevel"/>
    <w:tmpl w:val="ABFEC5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6FC2103"/>
    <w:multiLevelType w:val="hybridMultilevel"/>
    <w:tmpl w:val="32BCBBE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453A04BD"/>
    <w:multiLevelType w:val="hybridMultilevel"/>
    <w:tmpl w:val="7E8ADBA6"/>
    <w:lvl w:ilvl="0" w:tplc="49F00E00">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15:restartNumberingAfterBreak="0">
    <w:nsid w:val="46946C29"/>
    <w:multiLevelType w:val="hybridMultilevel"/>
    <w:tmpl w:val="8558122E"/>
    <w:lvl w:ilvl="0" w:tplc="5DB443D4">
      <w:start w:val="1"/>
      <w:numFmt w:val="bullet"/>
      <w:lvlText w:val="-"/>
      <w:lvlJc w:val="left"/>
      <w:pPr>
        <w:ind w:left="1991" w:hanging="360"/>
      </w:pPr>
      <w:rPr>
        <w:rFonts w:ascii="Times New Roman" w:eastAsiaTheme="minorHAnsi" w:hAnsi="Times New Roman" w:cs="Times New Roman" w:hint="default"/>
      </w:rPr>
    </w:lvl>
    <w:lvl w:ilvl="1" w:tplc="0C0A0003" w:tentative="1">
      <w:start w:val="1"/>
      <w:numFmt w:val="bullet"/>
      <w:lvlText w:val="o"/>
      <w:lvlJc w:val="left"/>
      <w:pPr>
        <w:ind w:left="2711" w:hanging="360"/>
      </w:pPr>
      <w:rPr>
        <w:rFonts w:ascii="Courier New" w:hAnsi="Courier New" w:cs="Courier New" w:hint="default"/>
      </w:rPr>
    </w:lvl>
    <w:lvl w:ilvl="2" w:tplc="0C0A0005" w:tentative="1">
      <w:start w:val="1"/>
      <w:numFmt w:val="bullet"/>
      <w:lvlText w:val=""/>
      <w:lvlJc w:val="left"/>
      <w:pPr>
        <w:ind w:left="3431" w:hanging="360"/>
      </w:pPr>
      <w:rPr>
        <w:rFonts w:ascii="Wingdings" w:hAnsi="Wingdings" w:hint="default"/>
      </w:rPr>
    </w:lvl>
    <w:lvl w:ilvl="3" w:tplc="0C0A0001" w:tentative="1">
      <w:start w:val="1"/>
      <w:numFmt w:val="bullet"/>
      <w:lvlText w:val=""/>
      <w:lvlJc w:val="left"/>
      <w:pPr>
        <w:ind w:left="4151" w:hanging="360"/>
      </w:pPr>
      <w:rPr>
        <w:rFonts w:ascii="Symbol" w:hAnsi="Symbol" w:hint="default"/>
      </w:rPr>
    </w:lvl>
    <w:lvl w:ilvl="4" w:tplc="0C0A0003" w:tentative="1">
      <w:start w:val="1"/>
      <w:numFmt w:val="bullet"/>
      <w:lvlText w:val="o"/>
      <w:lvlJc w:val="left"/>
      <w:pPr>
        <w:ind w:left="4871" w:hanging="360"/>
      </w:pPr>
      <w:rPr>
        <w:rFonts w:ascii="Courier New" w:hAnsi="Courier New" w:cs="Courier New" w:hint="default"/>
      </w:rPr>
    </w:lvl>
    <w:lvl w:ilvl="5" w:tplc="0C0A0005" w:tentative="1">
      <w:start w:val="1"/>
      <w:numFmt w:val="bullet"/>
      <w:lvlText w:val=""/>
      <w:lvlJc w:val="left"/>
      <w:pPr>
        <w:ind w:left="5591" w:hanging="360"/>
      </w:pPr>
      <w:rPr>
        <w:rFonts w:ascii="Wingdings" w:hAnsi="Wingdings" w:hint="default"/>
      </w:rPr>
    </w:lvl>
    <w:lvl w:ilvl="6" w:tplc="0C0A0001" w:tentative="1">
      <w:start w:val="1"/>
      <w:numFmt w:val="bullet"/>
      <w:lvlText w:val=""/>
      <w:lvlJc w:val="left"/>
      <w:pPr>
        <w:ind w:left="6311" w:hanging="360"/>
      </w:pPr>
      <w:rPr>
        <w:rFonts w:ascii="Symbol" w:hAnsi="Symbol" w:hint="default"/>
      </w:rPr>
    </w:lvl>
    <w:lvl w:ilvl="7" w:tplc="0C0A0003" w:tentative="1">
      <w:start w:val="1"/>
      <w:numFmt w:val="bullet"/>
      <w:lvlText w:val="o"/>
      <w:lvlJc w:val="left"/>
      <w:pPr>
        <w:ind w:left="7031" w:hanging="360"/>
      </w:pPr>
      <w:rPr>
        <w:rFonts w:ascii="Courier New" w:hAnsi="Courier New" w:cs="Courier New" w:hint="default"/>
      </w:rPr>
    </w:lvl>
    <w:lvl w:ilvl="8" w:tplc="0C0A0005" w:tentative="1">
      <w:start w:val="1"/>
      <w:numFmt w:val="bullet"/>
      <w:lvlText w:val=""/>
      <w:lvlJc w:val="left"/>
      <w:pPr>
        <w:ind w:left="7751" w:hanging="360"/>
      </w:pPr>
      <w:rPr>
        <w:rFonts w:ascii="Wingdings" w:hAnsi="Wingdings" w:hint="default"/>
      </w:rPr>
    </w:lvl>
  </w:abstractNum>
  <w:abstractNum w:abstractNumId="13" w15:restartNumberingAfterBreak="0">
    <w:nsid w:val="548B2289"/>
    <w:multiLevelType w:val="hybridMultilevel"/>
    <w:tmpl w:val="CA56DB2E"/>
    <w:lvl w:ilvl="0" w:tplc="4DCC0276">
      <w:numFmt w:val="bullet"/>
      <w:lvlText w:val=""/>
      <w:lvlJc w:val="left"/>
      <w:pPr>
        <w:ind w:left="720" w:hanging="360"/>
      </w:pPr>
      <w:rPr>
        <w:rFonts w:ascii="Symbol" w:eastAsia="Calibr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555A24B6"/>
    <w:multiLevelType w:val="hybridMultilevel"/>
    <w:tmpl w:val="E278D08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568D368D"/>
    <w:multiLevelType w:val="hybridMultilevel"/>
    <w:tmpl w:val="C95450F4"/>
    <w:lvl w:ilvl="0" w:tplc="18D0601E">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6" w15:restartNumberingAfterBreak="0">
    <w:nsid w:val="582715BF"/>
    <w:multiLevelType w:val="multilevel"/>
    <w:tmpl w:val="40D24072"/>
    <w:lvl w:ilvl="0">
      <w:start w:val="1"/>
      <w:numFmt w:val="decimal"/>
      <w:lvlText w:val="%1."/>
      <w:lvlJc w:val="left"/>
      <w:pPr>
        <w:ind w:left="720" w:hanging="360"/>
      </w:pPr>
      <w:rPr>
        <w:rFonts w:hint="default"/>
        <w:b/>
        <w:bCs/>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9002910"/>
    <w:multiLevelType w:val="multilevel"/>
    <w:tmpl w:val="A000A4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9F308AE"/>
    <w:multiLevelType w:val="hybridMultilevel"/>
    <w:tmpl w:val="DA1E6472"/>
    <w:lvl w:ilvl="0" w:tplc="F446B944">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5A2E6D96"/>
    <w:multiLevelType w:val="hybridMultilevel"/>
    <w:tmpl w:val="57ACBAD6"/>
    <w:lvl w:ilvl="0" w:tplc="09AC70FE">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ACB638D"/>
    <w:multiLevelType w:val="hybridMultilevel"/>
    <w:tmpl w:val="24B499EA"/>
    <w:lvl w:ilvl="0" w:tplc="12AA80DA">
      <w:start w:val="1"/>
      <w:numFmt w:val="decimal"/>
      <w:lvlText w:val="%1."/>
      <w:lvlJc w:val="left"/>
      <w:pPr>
        <w:ind w:left="720" w:hanging="360"/>
      </w:pPr>
      <w:rPr>
        <w:rFonts w:hint="default"/>
        <w:b/>
        <w:bCs/>
        <w:strike w:val="0"/>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E397107"/>
    <w:multiLevelType w:val="hybridMultilevel"/>
    <w:tmpl w:val="7FE6FDE4"/>
    <w:lvl w:ilvl="0" w:tplc="C7268114">
      <w:start w:val="1"/>
      <w:numFmt w:val="bullet"/>
      <w:lvlText w:val=""/>
      <w:lvlJc w:val="left"/>
      <w:pPr>
        <w:ind w:left="720" w:hanging="360"/>
      </w:pPr>
      <w:rPr>
        <w:rFonts w:ascii="Symbol" w:eastAsia="Calibri" w:hAnsi="Symbo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5F1C75F6"/>
    <w:multiLevelType w:val="multilevel"/>
    <w:tmpl w:val="B676729E"/>
    <w:lvl w:ilvl="0">
      <w:start w:val="1"/>
      <w:numFmt w:val="upperRoman"/>
      <w:lvlText w:val="%1."/>
      <w:lvlJc w:val="left"/>
      <w:pPr>
        <w:ind w:left="1440" w:hanging="720"/>
      </w:pPr>
      <w:rPr>
        <w:rFonts w:hint="default"/>
      </w:rPr>
    </w:lvl>
    <w:lvl w:ilvl="1">
      <w:start w:val="1"/>
      <w:numFmt w:val="decimal"/>
      <w:isLgl/>
      <w:lvlText w:val="%1.%2."/>
      <w:lvlJc w:val="left"/>
      <w:pPr>
        <w:ind w:left="2149" w:hanging="720"/>
      </w:pPr>
      <w:rPr>
        <w:rFonts w:hint="default"/>
      </w:rPr>
    </w:lvl>
    <w:lvl w:ilvl="2">
      <w:start w:val="2"/>
      <w:numFmt w:val="decimal"/>
      <w:isLgl/>
      <w:lvlText w:val="%1.%2.%3."/>
      <w:lvlJc w:val="left"/>
      <w:pPr>
        <w:ind w:left="2858" w:hanging="720"/>
      </w:pPr>
      <w:rPr>
        <w:rFonts w:hint="default"/>
      </w:rPr>
    </w:lvl>
    <w:lvl w:ilvl="3">
      <w:start w:val="1"/>
      <w:numFmt w:val="decimal"/>
      <w:isLgl/>
      <w:lvlText w:val="%1.%2.%3.%4."/>
      <w:lvlJc w:val="left"/>
      <w:pPr>
        <w:ind w:left="3927" w:hanging="1080"/>
      </w:pPr>
      <w:rPr>
        <w:rFonts w:hint="default"/>
      </w:rPr>
    </w:lvl>
    <w:lvl w:ilvl="4">
      <w:start w:val="1"/>
      <w:numFmt w:val="decimal"/>
      <w:isLgl/>
      <w:lvlText w:val="%1.%2.%3.%4.%5."/>
      <w:lvlJc w:val="left"/>
      <w:pPr>
        <w:ind w:left="4636" w:hanging="1080"/>
      </w:pPr>
      <w:rPr>
        <w:rFonts w:hint="default"/>
      </w:rPr>
    </w:lvl>
    <w:lvl w:ilvl="5">
      <w:start w:val="1"/>
      <w:numFmt w:val="decimal"/>
      <w:isLgl/>
      <w:lvlText w:val="%1.%2.%3.%4.%5.%6."/>
      <w:lvlJc w:val="left"/>
      <w:pPr>
        <w:ind w:left="5705" w:hanging="1440"/>
      </w:pPr>
      <w:rPr>
        <w:rFonts w:hint="default"/>
      </w:rPr>
    </w:lvl>
    <w:lvl w:ilvl="6">
      <w:start w:val="1"/>
      <w:numFmt w:val="decimal"/>
      <w:isLgl/>
      <w:lvlText w:val="%1.%2.%3.%4.%5.%6.%7."/>
      <w:lvlJc w:val="left"/>
      <w:pPr>
        <w:ind w:left="6414" w:hanging="1440"/>
      </w:pPr>
      <w:rPr>
        <w:rFonts w:hint="default"/>
      </w:rPr>
    </w:lvl>
    <w:lvl w:ilvl="7">
      <w:start w:val="1"/>
      <w:numFmt w:val="decimal"/>
      <w:isLgl/>
      <w:lvlText w:val="%1.%2.%3.%4.%5.%6.%7.%8."/>
      <w:lvlJc w:val="left"/>
      <w:pPr>
        <w:ind w:left="7483" w:hanging="1800"/>
      </w:pPr>
      <w:rPr>
        <w:rFonts w:hint="default"/>
      </w:rPr>
    </w:lvl>
    <w:lvl w:ilvl="8">
      <w:start w:val="1"/>
      <w:numFmt w:val="decimal"/>
      <w:isLgl/>
      <w:lvlText w:val="%1.%2.%3.%4.%5.%6.%7.%8.%9."/>
      <w:lvlJc w:val="left"/>
      <w:pPr>
        <w:ind w:left="8552" w:hanging="2160"/>
      </w:pPr>
      <w:rPr>
        <w:rFonts w:hint="default"/>
      </w:rPr>
    </w:lvl>
  </w:abstractNum>
  <w:abstractNum w:abstractNumId="23" w15:restartNumberingAfterBreak="0">
    <w:nsid w:val="60847FE2"/>
    <w:multiLevelType w:val="multilevel"/>
    <w:tmpl w:val="261EAB26"/>
    <w:lvl w:ilvl="0">
      <w:start w:val="1"/>
      <w:numFmt w:val="decimal"/>
      <w:lvlText w:val="%1"/>
      <w:lvlJc w:val="left"/>
      <w:pPr>
        <w:ind w:left="360" w:hanging="360"/>
      </w:pPr>
      <w:rPr>
        <w:rFonts w:ascii="Verdana" w:eastAsia="Times New Roman" w:hAnsi="Verdana" w:cs="Times New Roman"/>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6C65B4"/>
    <w:multiLevelType w:val="multilevel"/>
    <w:tmpl w:val="9154C944"/>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52D339B"/>
    <w:multiLevelType w:val="multilevel"/>
    <w:tmpl w:val="80EC3A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5413236"/>
    <w:multiLevelType w:val="hybridMultilevel"/>
    <w:tmpl w:val="0836765A"/>
    <w:lvl w:ilvl="0" w:tplc="C14AEE3C">
      <w:start w:val="1"/>
      <w:numFmt w:val="upperRoman"/>
      <w:lvlText w:val="%1."/>
      <w:lvlJc w:val="left"/>
      <w:pPr>
        <w:ind w:left="2138" w:hanging="720"/>
      </w:pPr>
      <w:rPr>
        <w:rFonts w:hint="default"/>
      </w:rPr>
    </w:lvl>
    <w:lvl w:ilvl="1" w:tplc="08160019" w:tentative="1">
      <w:start w:val="1"/>
      <w:numFmt w:val="lowerLetter"/>
      <w:lvlText w:val="%2."/>
      <w:lvlJc w:val="left"/>
      <w:pPr>
        <w:ind w:left="2498" w:hanging="360"/>
      </w:pPr>
    </w:lvl>
    <w:lvl w:ilvl="2" w:tplc="0816001B" w:tentative="1">
      <w:start w:val="1"/>
      <w:numFmt w:val="lowerRoman"/>
      <w:lvlText w:val="%3."/>
      <w:lvlJc w:val="right"/>
      <w:pPr>
        <w:ind w:left="3218" w:hanging="180"/>
      </w:pPr>
    </w:lvl>
    <w:lvl w:ilvl="3" w:tplc="0816000F" w:tentative="1">
      <w:start w:val="1"/>
      <w:numFmt w:val="decimal"/>
      <w:lvlText w:val="%4."/>
      <w:lvlJc w:val="left"/>
      <w:pPr>
        <w:ind w:left="3938" w:hanging="360"/>
      </w:pPr>
    </w:lvl>
    <w:lvl w:ilvl="4" w:tplc="08160019" w:tentative="1">
      <w:start w:val="1"/>
      <w:numFmt w:val="lowerLetter"/>
      <w:lvlText w:val="%5."/>
      <w:lvlJc w:val="left"/>
      <w:pPr>
        <w:ind w:left="4658" w:hanging="360"/>
      </w:pPr>
    </w:lvl>
    <w:lvl w:ilvl="5" w:tplc="0816001B" w:tentative="1">
      <w:start w:val="1"/>
      <w:numFmt w:val="lowerRoman"/>
      <w:lvlText w:val="%6."/>
      <w:lvlJc w:val="right"/>
      <w:pPr>
        <w:ind w:left="5378" w:hanging="180"/>
      </w:pPr>
    </w:lvl>
    <w:lvl w:ilvl="6" w:tplc="0816000F" w:tentative="1">
      <w:start w:val="1"/>
      <w:numFmt w:val="decimal"/>
      <w:lvlText w:val="%7."/>
      <w:lvlJc w:val="left"/>
      <w:pPr>
        <w:ind w:left="6098" w:hanging="360"/>
      </w:pPr>
    </w:lvl>
    <w:lvl w:ilvl="7" w:tplc="08160019" w:tentative="1">
      <w:start w:val="1"/>
      <w:numFmt w:val="lowerLetter"/>
      <w:lvlText w:val="%8."/>
      <w:lvlJc w:val="left"/>
      <w:pPr>
        <w:ind w:left="6818" w:hanging="360"/>
      </w:pPr>
    </w:lvl>
    <w:lvl w:ilvl="8" w:tplc="0816001B" w:tentative="1">
      <w:start w:val="1"/>
      <w:numFmt w:val="lowerRoman"/>
      <w:lvlText w:val="%9."/>
      <w:lvlJc w:val="right"/>
      <w:pPr>
        <w:ind w:left="7538" w:hanging="180"/>
      </w:pPr>
    </w:lvl>
  </w:abstractNum>
  <w:abstractNum w:abstractNumId="27" w15:restartNumberingAfterBreak="0">
    <w:nsid w:val="674B6685"/>
    <w:multiLevelType w:val="hybridMultilevel"/>
    <w:tmpl w:val="123A9D5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69704B86"/>
    <w:multiLevelType w:val="hybridMultilevel"/>
    <w:tmpl w:val="5E94CD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B2669AE"/>
    <w:multiLevelType w:val="hybridMultilevel"/>
    <w:tmpl w:val="37D08A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E335EA3"/>
    <w:multiLevelType w:val="hybridMultilevel"/>
    <w:tmpl w:val="AED0D6F6"/>
    <w:lvl w:ilvl="0" w:tplc="3FE25656">
      <w:start w:val="1"/>
      <w:numFmt w:val="upperLetter"/>
      <w:lvlText w:val="%1."/>
      <w:lvlJc w:val="left"/>
      <w:pPr>
        <w:ind w:left="1631" w:hanging="360"/>
      </w:pPr>
      <w:rPr>
        <w:rFonts w:hint="default"/>
      </w:rPr>
    </w:lvl>
    <w:lvl w:ilvl="1" w:tplc="0C0A0019" w:tentative="1">
      <w:start w:val="1"/>
      <w:numFmt w:val="lowerLetter"/>
      <w:lvlText w:val="%2."/>
      <w:lvlJc w:val="left"/>
      <w:pPr>
        <w:ind w:left="2351" w:hanging="360"/>
      </w:pPr>
    </w:lvl>
    <w:lvl w:ilvl="2" w:tplc="0C0A001B" w:tentative="1">
      <w:start w:val="1"/>
      <w:numFmt w:val="lowerRoman"/>
      <w:lvlText w:val="%3."/>
      <w:lvlJc w:val="right"/>
      <w:pPr>
        <w:ind w:left="3071" w:hanging="180"/>
      </w:pPr>
    </w:lvl>
    <w:lvl w:ilvl="3" w:tplc="0C0A000F" w:tentative="1">
      <w:start w:val="1"/>
      <w:numFmt w:val="decimal"/>
      <w:lvlText w:val="%4."/>
      <w:lvlJc w:val="left"/>
      <w:pPr>
        <w:ind w:left="3791" w:hanging="360"/>
      </w:pPr>
    </w:lvl>
    <w:lvl w:ilvl="4" w:tplc="0C0A0019" w:tentative="1">
      <w:start w:val="1"/>
      <w:numFmt w:val="lowerLetter"/>
      <w:lvlText w:val="%5."/>
      <w:lvlJc w:val="left"/>
      <w:pPr>
        <w:ind w:left="4511" w:hanging="360"/>
      </w:pPr>
    </w:lvl>
    <w:lvl w:ilvl="5" w:tplc="0C0A001B" w:tentative="1">
      <w:start w:val="1"/>
      <w:numFmt w:val="lowerRoman"/>
      <w:lvlText w:val="%6."/>
      <w:lvlJc w:val="right"/>
      <w:pPr>
        <w:ind w:left="5231" w:hanging="180"/>
      </w:pPr>
    </w:lvl>
    <w:lvl w:ilvl="6" w:tplc="0C0A000F" w:tentative="1">
      <w:start w:val="1"/>
      <w:numFmt w:val="decimal"/>
      <w:lvlText w:val="%7."/>
      <w:lvlJc w:val="left"/>
      <w:pPr>
        <w:ind w:left="5951" w:hanging="360"/>
      </w:pPr>
    </w:lvl>
    <w:lvl w:ilvl="7" w:tplc="0C0A0019" w:tentative="1">
      <w:start w:val="1"/>
      <w:numFmt w:val="lowerLetter"/>
      <w:lvlText w:val="%8."/>
      <w:lvlJc w:val="left"/>
      <w:pPr>
        <w:ind w:left="6671" w:hanging="360"/>
      </w:pPr>
    </w:lvl>
    <w:lvl w:ilvl="8" w:tplc="0C0A001B" w:tentative="1">
      <w:start w:val="1"/>
      <w:numFmt w:val="lowerRoman"/>
      <w:lvlText w:val="%9."/>
      <w:lvlJc w:val="right"/>
      <w:pPr>
        <w:ind w:left="7391" w:hanging="180"/>
      </w:pPr>
    </w:lvl>
  </w:abstractNum>
  <w:abstractNum w:abstractNumId="31" w15:restartNumberingAfterBreak="0">
    <w:nsid w:val="707765BE"/>
    <w:multiLevelType w:val="hybridMultilevel"/>
    <w:tmpl w:val="14626B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6D33D83"/>
    <w:multiLevelType w:val="multilevel"/>
    <w:tmpl w:val="312E40F8"/>
    <w:lvl w:ilvl="0">
      <w:start w:val="2"/>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6E05267"/>
    <w:multiLevelType w:val="multilevel"/>
    <w:tmpl w:val="DDC0B7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86C2204"/>
    <w:multiLevelType w:val="hybridMultilevel"/>
    <w:tmpl w:val="FB823282"/>
    <w:lvl w:ilvl="0" w:tplc="61FEAE02">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7A736598"/>
    <w:multiLevelType w:val="hybridMultilevel"/>
    <w:tmpl w:val="8DE2927E"/>
    <w:lvl w:ilvl="0" w:tplc="682AAE2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 w15:restartNumberingAfterBreak="0">
    <w:nsid w:val="7A9E4DC0"/>
    <w:multiLevelType w:val="hybridMultilevel"/>
    <w:tmpl w:val="6F20AE02"/>
    <w:lvl w:ilvl="0" w:tplc="48D20BDC">
      <w:start w:val="1"/>
      <w:numFmt w:val="decimal"/>
      <w:lvlText w:val="%1."/>
      <w:lvlJc w:val="left"/>
      <w:pPr>
        <w:ind w:left="1069" w:hanging="360"/>
      </w:pPr>
      <w:rPr>
        <w:rFonts w:eastAsia="Calibri" w:hint="default"/>
        <w:color w:val="auto"/>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7" w15:restartNumberingAfterBreak="0">
    <w:nsid w:val="7C786095"/>
    <w:multiLevelType w:val="multilevel"/>
    <w:tmpl w:val="EB46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DD422C"/>
    <w:multiLevelType w:val="multilevel"/>
    <w:tmpl w:val="581A34B6"/>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num w:numId="1" w16cid:durableId="405765929">
    <w:abstractNumId w:val="38"/>
  </w:num>
  <w:num w:numId="2" w16cid:durableId="954825081">
    <w:abstractNumId w:val="26"/>
  </w:num>
  <w:num w:numId="3" w16cid:durableId="560479068">
    <w:abstractNumId w:val="21"/>
  </w:num>
  <w:num w:numId="4" w16cid:durableId="315845856">
    <w:abstractNumId w:val="22"/>
  </w:num>
  <w:num w:numId="5" w16cid:durableId="1744258378">
    <w:abstractNumId w:val="0"/>
  </w:num>
  <w:num w:numId="6" w16cid:durableId="1251506577">
    <w:abstractNumId w:val="13"/>
  </w:num>
  <w:num w:numId="7" w16cid:durableId="441998757">
    <w:abstractNumId w:val="27"/>
  </w:num>
  <w:num w:numId="8" w16cid:durableId="93138098">
    <w:abstractNumId w:val="18"/>
  </w:num>
  <w:num w:numId="9" w16cid:durableId="527254613">
    <w:abstractNumId w:val="2"/>
  </w:num>
  <w:num w:numId="10" w16cid:durableId="600719545">
    <w:abstractNumId w:val="15"/>
  </w:num>
  <w:num w:numId="11" w16cid:durableId="1473642617">
    <w:abstractNumId w:val="34"/>
  </w:num>
  <w:num w:numId="12" w16cid:durableId="1880042922">
    <w:abstractNumId w:val="24"/>
  </w:num>
  <w:num w:numId="13" w16cid:durableId="1044869920">
    <w:abstractNumId w:val="9"/>
  </w:num>
  <w:num w:numId="14" w16cid:durableId="1116752363">
    <w:abstractNumId w:val="10"/>
  </w:num>
  <w:num w:numId="15" w16cid:durableId="809715397">
    <w:abstractNumId w:val="25"/>
  </w:num>
  <w:num w:numId="16" w16cid:durableId="1348403607">
    <w:abstractNumId w:val="5"/>
  </w:num>
  <w:num w:numId="17" w16cid:durableId="1330642991">
    <w:abstractNumId w:val="37"/>
  </w:num>
  <w:num w:numId="18" w16cid:durableId="1751846124">
    <w:abstractNumId w:val="8"/>
  </w:num>
  <w:num w:numId="19" w16cid:durableId="887495892">
    <w:abstractNumId w:val="19"/>
  </w:num>
  <w:num w:numId="20" w16cid:durableId="979110831">
    <w:abstractNumId w:val="29"/>
  </w:num>
  <w:num w:numId="21" w16cid:durableId="67391152">
    <w:abstractNumId w:val="33"/>
  </w:num>
  <w:num w:numId="22" w16cid:durableId="1618440144">
    <w:abstractNumId w:val="14"/>
  </w:num>
  <w:num w:numId="23" w16cid:durableId="1311441871">
    <w:abstractNumId w:val="3"/>
  </w:num>
  <w:num w:numId="24" w16cid:durableId="1349865971">
    <w:abstractNumId w:val="32"/>
  </w:num>
  <w:num w:numId="25" w16cid:durableId="1606885597">
    <w:abstractNumId w:val="35"/>
  </w:num>
  <w:num w:numId="26" w16cid:durableId="1702586380">
    <w:abstractNumId w:val="11"/>
  </w:num>
  <w:num w:numId="27" w16cid:durableId="1538734328">
    <w:abstractNumId w:val="1"/>
  </w:num>
  <w:num w:numId="28" w16cid:durableId="5445948">
    <w:abstractNumId w:val="6"/>
  </w:num>
  <w:num w:numId="29" w16cid:durableId="828136910">
    <w:abstractNumId w:val="31"/>
  </w:num>
  <w:num w:numId="30" w16cid:durableId="1938173674">
    <w:abstractNumId w:val="28"/>
  </w:num>
  <w:num w:numId="31" w16cid:durableId="926429305">
    <w:abstractNumId w:val="36"/>
  </w:num>
  <w:num w:numId="32" w16cid:durableId="384180869">
    <w:abstractNumId w:val="12"/>
  </w:num>
  <w:num w:numId="33" w16cid:durableId="242765253">
    <w:abstractNumId w:val="30"/>
  </w:num>
  <w:num w:numId="34" w16cid:durableId="1170801768">
    <w:abstractNumId w:val="23"/>
  </w:num>
  <w:num w:numId="35" w16cid:durableId="624506601">
    <w:abstractNumId w:val="17"/>
  </w:num>
  <w:num w:numId="36" w16cid:durableId="1298295238">
    <w:abstractNumId w:val="4"/>
  </w:num>
  <w:num w:numId="37" w16cid:durableId="137771814">
    <w:abstractNumId w:val="7"/>
  </w:num>
  <w:num w:numId="38" w16cid:durableId="784933917">
    <w:abstractNumId w:val="20"/>
  </w:num>
  <w:num w:numId="39" w16cid:durableId="2003313957">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C53"/>
    <w:rsid w:val="00010C32"/>
    <w:rsid w:val="00010C83"/>
    <w:rsid w:val="00013BAB"/>
    <w:rsid w:val="00015531"/>
    <w:rsid w:val="00026B5B"/>
    <w:rsid w:val="00031160"/>
    <w:rsid w:val="000415E1"/>
    <w:rsid w:val="00043D05"/>
    <w:rsid w:val="00044192"/>
    <w:rsid w:val="00053E7A"/>
    <w:rsid w:val="00054221"/>
    <w:rsid w:val="00061E06"/>
    <w:rsid w:val="00074298"/>
    <w:rsid w:val="0007459C"/>
    <w:rsid w:val="00074D50"/>
    <w:rsid w:val="000801DB"/>
    <w:rsid w:val="000850CD"/>
    <w:rsid w:val="000914EC"/>
    <w:rsid w:val="0009312F"/>
    <w:rsid w:val="00094B1A"/>
    <w:rsid w:val="00097583"/>
    <w:rsid w:val="000A040B"/>
    <w:rsid w:val="000A05A7"/>
    <w:rsid w:val="000A1ABB"/>
    <w:rsid w:val="000A49E0"/>
    <w:rsid w:val="000A587E"/>
    <w:rsid w:val="000B122B"/>
    <w:rsid w:val="000C0625"/>
    <w:rsid w:val="000C591F"/>
    <w:rsid w:val="000D0C7E"/>
    <w:rsid w:val="000D2252"/>
    <w:rsid w:val="000D2D9F"/>
    <w:rsid w:val="000D4482"/>
    <w:rsid w:val="000D45D8"/>
    <w:rsid w:val="000D730B"/>
    <w:rsid w:val="000E16DF"/>
    <w:rsid w:val="00100AB0"/>
    <w:rsid w:val="00125A13"/>
    <w:rsid w:val="0013498B"/>
    <w:rsid w:val="001463D5"/>
    <w:rsid w:val="00162743"/>
    <w:rsid w:val="001630E5"/>
    <w:rsid w:val="00164BA1"/>
    <w:rsid w:val="00196190"/>
    <w:rsid w:val="00196684"/>
    <w:rsid w:val="001A035C"/>
    <w:rsid w:val="001A0C58"/>
    <w:rsid w:val="001B0B01"/>
    <w:rsid w:val="001B1473"/>
    <w:rsid w:val="001C0B78"/>
    <w:rsid w:val="001C2F1B"/>
    <w:rsid w:val="001C4D9D"/>
    <w:rsid w:val="001C644F"/>
    <w:rsid w:val="001D1795"/>
    <w:rsid w:val="001D248F"/>
    <w:rsid w:val="001D2C2F"/>
    <w:rsid w:val="001D3ABA"/>
    <w:rsid w:val="001E73DD"/>
    <w:rsid w:val="001F1C56"/>
    <w:rsid w:val="00200E81"/>
    <w:rsid w:val="002054EE"/>
    <w:rsid w:val="00205D50"/>
    <w:rsid w:val="002157AF"/>
    <w:rsid w:val="00216FCE"/>
    <w:rsid w:val="002170BD"/>
    <w:rsid w:val="002249D9"/>
    <w:rsid w:val="00233BC1"/>
    <w:rsid w:val="0024722E"/>
    <w:rsid w:val="0024771F"/>
    <w:rsid w:val="002612EF"/>
    <w:rsid w:val="00261EE3"/>
    <w:rsid w:val="00274F32"/>
    <w:rsid w:val="002805EC"/>
    <w:rsid w:val="002836ED"/>
    <w:rsid w:val="00294222"/>
    <w:rsid w:val="00297F18"/>
    <w:rsid w:val="002A00A2"/>
    <w:rsid w:val="002A6C34"/>
    <w:rsid w:val="002C3AF9"/>
    <w:rsid w:val="002C413A"/>
    <w:rsid w:val="002E08C4"/>
    <w:rsid w:val="002E4710"/>
    <w:rsid w:val="002E705B"/>
    <w:rsid w:val="002F313A"/>
    <w:rsid w:val="002F5BEE"/>
    <w:rsid w:val="002F6932"/>
    <w:rsid w:val="00322D78"/>
    <w:rsid w:val="0033426E"/>
    <w:rsid w:val="00336E06"/>
    <w:rsid w:val="00353502"/>
    <w:rsid w:val="003564A3"/>
    <w:rsid w:val="00357567"/>
    <w:rsid w:val="003577FE"/>
    <w:rsid w:val="00376533"/>
    <w:rsid w:val="003779E5"/>
    <w:rsid w:val="003826FC"/>
    <w:rsid w:val="00382A46"/>
    <w:rsid w:val="0038374C"/>
    <w:rsid w:val="0039124C"/>
    <w:rsid w:val="003A6B86"/>
    <w:rsid w:val="003B1514"/>
    <w:rsid w:val="003C1373"/>
    <w:rsid w:val="003C69EF"/>
    <w:rsid w:val="003C6C8A"/>
    <w:rsid w:val="003C72A8"/>
    <w:rsid w:val="003D0C1D"/>
    <w:rsid w:val="003D3437"/>
    <w:rsid w:val="003E38E4"/>
    <w:rsid w:val="003E633E"/>
    <w:rsid w:val="003F0D0E"/>
    <w:rsid w:val="003F7A51"/>
    <w:rsid w:val="00405F52"/>
    <w:rsid w:val="004211A0"/>
    <w:rsid w:val="00436EF0"/>
    <w:rsid w:val="004423DB"/>
    <w:rsid w:val="004437E7"/>
    <w:rsid w:val="00446317"/>
    <w:rsid w:val="00451594"/>
    <w:rsid w:val="00455A9D"/>
    <w:rsid w:val="0045682C"/>
    <w:rsid w:val="00457B15"/>
    <w:rsid w:val="0046556B"/>
    <w:rsid w:val="004721B6"/>
    <w:rsid w:val="0047566F"/>
    <w:rsid w:val="00482890"/>
    <w:rsid w:val="00482C15"/>
    <w:rsid w:val="00491227"/>
    <w:rsid w:val="00491A8B"/>
    <w:rsid w:val="0049362F"/>
    <w:rsid w:val="004A01B4"/>
    <w:rsid w:val="004A49F5"/>
    <w:rsid w:val="004A511A"/>
    <w:rsid w:val="004B0972"/>
    <w:rsid w:val="004B411E"/>
    <w:rsid w:val="004C7778"/>
    <w:rsid w:val="004F1CB5"/>
    <w:rsid w:val="00503B20"/>
    <w:rsid w:val="005209A9"/>
    <w:rsid w:val="005275CC"/>
    <w:rsid w:val="00533A68"/>
    <w:rsid w:val="00534F18"/>
    <w:rsid w:val="00541AB5"/>
    <w:rsid w:val="00553497"/>
    <w:rsid w:val="00563951"/>
    <w:rsid w:val="00564C2F"/>
    <w:rsid w:val="00565D1A"/>
    <w:rsid w:val="005706AE"/>
    <w:rsid w:val="005732BE"/>
    <w:rsid w:val="00575193"/>
    <w:rsid w:val="005775E7"/>
    <w:rsid w:val="00585B53"/>
    <w:rsid w:val="00590755"/>
    <w:rsid w:val="00596EAA"/>
    <w:rsid w:val="005A5965"/>
    <w:rsid w:val="005D5E4D"/>
    <w:rsid w:val="005E2159"/>
    <w:rsid w:val="005E7C48"/>
    <w:rsid w:val="005F1283"/>
    <w:rsid w:val="0060289C"/>
    <w:rsid w:val="00604EFC"/>
    <w:rsid w:val="00611446"/>
    <w:rsid w:val="00626D63"/>
    <w:rsid w:val="00634240"/>
    <w:rsid w:val="00634319"/>
    <w:rsid w:val="00635316"/>
    <w:rsid w:val="00642F49"/>
    <w:rsid w:val="00665B42"/>
    <w:rsid w:val="006675AE"/>
    <w:rsid w:val="00684825"/>
    <w:rsid w:val="006858F3"/>
    <w:rsid w:val="0068799F"/>
    <w:rsid w:val="006A3D18"/>
    <w:rsid w:val="006B5100"/>
    <w:rsid w:val="006C4806"/>
    <w:rsid w:val="006D3619"/>
    <w:rsid w:val="006D3DEA"/>
    <w:rsid w:val="006E4501"/>
    <w:rsid w:val="006E5E90"/>
    <w:rsid w:val="006F0A61"/>
    <w:rsid w:val="006F23C5"/>
    <w:rsid w:val="006F2A33"/>
    <w:rsid w:val="006F5D1C"/>
    <w:rsid w:val="006F610E"/>
    <w:rsid w:val="006F7130"/>
    <w:rsid w:val="00703AA2"/>
    <w:rsid w:val="007051DD"/>
    <w:rsid w:val="00706199"/>
    <w:rsid w:val="0070661C"/>
    <w:rsid w:val="0070720E"/>
    <w:rsid w:val="00711645"/>
    <w:rsid w:val="00712CD2"/>
    <w:rsid w:val="00713812"/>
    <w:rsid w:val="00713EFE"/>
    <w:rsid w:val="00721D60"/>
    <w:rsid w:val="007230DA"/>
    <w:rsid w:val="00725E97"/>
    <w:rsid w:val="00731253"/>
    <w:rsid w:val="00733D46"/>
    <w:rsid w:val="00744E96"/>
    <w:rsid w:val="00760567"/>
    <w:rsid w:val="00761E3F"/>
    <w:rsid w:val="00762E56"/>
    <w:rsid w:val="007655D7"/>
    <w:rsid w:val="007709B5"/>
    <w:rsid w:val="00776F74"/>
    <w:rsid w:val="00785179"/>
    <w:rsid w:val="00793A36"/>
    <w:rsid w:val="00794E38"/>
    <w:rsid w:val="007B1675"/>
    <w:rsid w:val="007B6D77"/>
    <w:rsid w:val="007C4A9D"/>
    <w:rsid w:val="007C6F1D"/>
    <w:rsid w:val="007D28F4"/>
    <w:rsid w:val="007D42AB"/>
    <w:rsid w:val="007D5703"/>
    <w:rsid w:val="007E5C51"/>
    <w:rsid w:val="007F00F3"/>
    <w:rsid w:val="007F7F25"/>
    <w:rsid w:val="00801C7A"/>
    <w:rsid w:val="00817E92"/>
    <w:rsid w:val="00843514"/>
    <w:rsid w:val="008541FA"/>
    <w:rsid w:val="0085461B"/>
    <w:rsid w:val="00855691"/>
    <w:rsid w:val="00865270"/>
    <w:rsid w:val="00865736"/>
    <w:rsid w:val="00866F17"/>
    <w:rsid w:val="00873E16"/>
    <w:rsid w:val="008763B6"/>
    <w:rsid w:val="008818BC"/>
    <w:rsid w:val="00882AFE"/>
    <w:rsid w:val="00885604"/>
    <w:rsid w:val="00885DEB"/>
    <w:rsid w:val="00886D02"/>
    <w:rsid w:val="00892D07"/>
    <w:rsid w:val="008A5E59"/>
    <w:rsid w:val="008B2731"/>
    <w:rsid w:val="008C6C23"/>
    <w:rsid w:val="008D0079"/>
    <w:rsid w:val="008E507E"/>
    <w:rsid w:val="008F321A"/>
    <w:rsid w:val="008F5898"/>
    <w:rsid w:val="0090000D"/>
    <w:rsid w:val="00901A08"/>
    <w:rsid w:val="009275D0"/>
    <w:rsid w:val="00933C03"/>
    <w:rsid w:val="009353AD"/>
    <w:rsid w:val="00942A71"/>
    <w:rsid w:val="00950A4D"/>
    <w:rsid w:val="00956D45"/>
    <w:rsid w:val="00957EED"/>
    <w:rsid w:val="0096040B"/>
    <w:rsid w:val="0096396D"/>
    <w:rsid w:val="0096445F"/>
    <w:rsid w:val="00975C33"/>
    <w:rsid w:val="009815CB"/>
    <w:rsid w:val="00982120"/>
    <w:rsid w:val="009876AF"/>
    <w:rsid w:val="009B358E"/>
    <w:rsid w:val="009B7498"/>
    <w:rsid w:val="009E003D"/>
    <w:rsid w:val="009E7A88"/>
    <w:rsid w:val="009F63DD"/>
    <w:rsid w:val="009F7406"/>
    <w:rsid w:val="00A03A68"/>
    <w:rsid w:val="00A04F47"/>
    <w:rsid w:val="00A0635D"/>
    <w:rsid w:val="00A45040"/>
    <w:rsid w:val="00A50E6A"/>
    <w:rsid w:val="00A57DD8"/>
    <w:rsid w:val="00A62901"/>
    <w:rsid w:val="00A63D38"/>
    <w:rsid w:val="00A63F5A"/>
    <w:rsid w:val="00A72A92"/>
    <w:rsid w:val="00A74222"/>
    <w:rsid w:val="00A80223"/>
    <w:rsid w:val="00A8187B"/>
    <w:rsid w:val="00A931E9"/>
    <w:rsid w:val="00AA6401"/>
    <w:rsid w:val="00AA745D"/>
    <w:rsid w:val="00AA7589"/>
    <w:rsid w:val="00AB1622"/>
    <w:rsid w:val="00AB17C3"/>
    <w:rsid w:val="00AC1C86"/>
    <w:rsid w:val="00AC208B"/>
    <w:rsid w:val="00AD2D4F"/>
    <w:rsid w:val="00AD4545"/>
    <w:rsid w:val="00AF1AF1"/>
    <w:rsid w:val="00AF53E2"/>
    <w:rsid w:val="00B020C4"/>
    <w:rsid w:val="00B03A0C"/>
    <w:rsid w:val="00B14964"/>
    <w:rsid w:val="00B16886"/>
    <w:rsid w:val="00B253D4"/>
    <w:rsid w:val="00B27574"/>
    <w:rsid w:val="00B27A03"/>
    <w:rsid w:val="00B3275D"/>
    <w:rsid w:val="00B3399F"/>
    <w:rsid w:val="00B47ADD"/>
    <w:rsid w:val="00B47FCD"/>
    <w:rsid w:val="00B55E31"/>
    <w:rsid w:val="00B64269"/>
    <w:rsid w:val="00B66ABA"/>
    <w:rsid w:val="00B76E68"/>
    <w:rsid w:val="00B775B2"/>
    <w:rsid w:val="00B83957"/>
    <w:rsid w:val="00B9542B"/>
    <w:rsid w:val="00B97893"/>
    <w:rsid w:val="00BA22F3"/>
    <w:rsid w:val="00BA27B5"/>
    <w:rsid w:val="00BA5E13"/>
    <w:rsid w:val="00BC27D3"/>
    <w:rsid w:val="00BC4C44"/>
    <w:rsid w:val="00BC6756"/>
    <w:rsid w:val="00BC686A"/>
    <w:rsid w:val="00BD7AA6"/>
    <w:rsid w:val="00BE1A62"/>
    <w:rsid w:val="00BE4712"/>
    <w:rsid w:val="00BF1AAD"/>
    <w:rsid w:val="00BF6505"/>
    <w:rsid w:val="00C01D59"/>
    <w:rsid w:val="00C0679D"/>
    <w:rsid w:val="00C06F52"/>
    <w:rsid w:val="00C1310F"/>
    <w:rsid w:val="00C170B2"/>
    <w:rsid w:val="00C206A0"/>
    <w:rsid w:val="00C20AC9"/>
    <w:rsid w:val="00C20D24"/>
    <w:rsid w:val="00C24588"/>
    <w:rsid w:val="00C404B8"/>
    <w:rsid w:val="00C40649"/>
    <w:rsid w:val="00C43D2D"/>
    <w:rsid w:val="00C44E1B"/>
    <w:rsid w:val="00C46B65"/>
    <w:rsid w:val="00C534A5"/>
    <w:rsid w:val="00C535E7"/>
    <w:rsid w:val="00C56CB2"/>
    <w:rsid w:val="00C6561C"/>
    <w:rsid w:val="00C8307B"/>
    <w:rsid w:val="00C862F6"/>
    <w:rsid w:val="00C94DAB"/>
    <w:rsid w:val="00C957A6"/>
    <w:rsid w:val="00C96422"/>
    <w:rsid w:val="00CA041A"/>
    <w:rsid w:val="00CA0692"/>
    <w:rsid w:val="00CA4A9D"/>
    <w:rsid w:val="00CB6BDD"/>
    <w:rsid w:val="00CD2311"/>
    <w:rsid w:val="00CD711A"/>
    <w:rsid w:val="00CE1EEB"/>
    <w:rsid w:val="00CE3314"/>
    <w:rsid w:val="00CE35A7"/>
    <w:rsid w:val="00CE705D"/>
    <w:rsid w:val="00CF373B"/>
    <w:rsid w:val="00D06327"/>
    <w:rsid w:val="00D101EE"/>
    <w:rsid w:val="00D25CAC"/>
    <w:rsid w:val="00D2789B"/>
    <w:rsid w:val="00D31069"/>
    <w:rsid w:val="00D3267E"/>
    <w:rsid w:val="00D36208"/>
    <w:rsid w:val="00D40A0B"/>
    <w:rsid w:val="00D40A53"/>
    <w:rsid w:val="00D43707"/>
    <w:rsid w:val="00D520E4"/>
    <w:rsid w:val="00D53BC6"/>
    <w:rsid w:val="00D638B0"/>
    <w:rsid w:val="00D759D8"/>
    <w:rsid w:val="00D763CE"/>
    <w:rsid w:val="00D76C2F"/>
    <w:rsid w:val="00D77867"/>
    <w:rsid w:val="00D83E37"/>
    <w:rsid w:val="00D90723"/>
    <w:rsid w:val="00D95C51"/>
    <w:rsid w:val="00D96739"/>
    <w:rsid w:val="00D96EF8"/>
    <w:rsid w:val="00DA0090"/>
    <w:rsid w:val="00DA07E3"/>
    <w:rsid w:val="00DA2FB4"/>
    <w:rsid w:val="00DB0619"/>
    <w:rsid w:val="00DB5C8F"/>
    <w:rsid w:val="00DC3DDE"/>
    <w:rsid w:val="00DC5AA2"/>
    <w:rsid w:val="00DD5AB6"/>
    <w:rsid w:val="00DD65D0"/>
    <w:rsid w:val="00DE0A30"/>
    <w:rsid w:val="00DE0E26"/>
    <w:rsid w:val="00DE2CB7"/>
    <w:rsid w:val="00DE33F4"/>
    <w:rsid w:val="00DE3493"/>
    <w:rsid w:val="00DE4DB0"/>
    <w:rsid w:val="00DE7331"/>
    <w:rsid w:val="00DF2441"/>
    <w:rsid w:val="00E05E4E"/>
    <w:rsid w:val="00E07A7C"/>
    <w:rsid w:val="00E20432"/>
    <w:rsid w:val="00E24842"/>
    <w:rsid w:val="00E363C2"/>
    <w:rsid w:val="00E41624"/>
    <w:rsid w:val="00E4173F"/>
    <w:rsid w:val="00E42F93"/>
    <w:rsid w:val="00E43A02"/>
    <w:rsid w:val="00E54D1E"/>
    <w:rsid w:val="00E56B6D"/>
    <w:rsid w:val="00E576EC"/>
    <w:rsid w:val="00E76A40"/>
    <w:rsid w:val="00E77C0D"/>
    <w:rsid w:val="00E84F75"/>
    <w:rsid w:val="00E90370"/>
    <w:rsid w:val="00E90D01"/>
    <w:rsid w:val="00E93519"/>
    <w:rsid w:val="00EA5F1B"/>
    <w:rsid w:val="00EA6E52"/>
    <w:rsid w:val="00EB480A"/>
    <w:rsid w:val="00EC25B5"/>
    <w:rsid w:val="00EC2ADA"/>
    <w:rsid w:val="00EC7971"/>
    <w:rsid w:val="00ED0E7D"/>
    <w:rsid w:val="00ED70B8"/>
    <w:rsid w:val="00EE137E"/>
    <w:rsid w:val="00EE24AC"/>
    <w:rsid w:val="00EF15A0"/>
    <w:rsid w:val="00EF21E3"/>
    <w:rsid w:val="00EF3D94"/>
    <w:rsid w:val="00F0235D"/>
    <w:rsid w:val="00F043AC"/>
    <w:rsid w:val="00F04D5E"/>
    <w:rsid w:val="00F14C53"/>
    <w:rsid w:val="00F15C2E"/>
    <w:rsid w:val="00F228BE"/>
    <w:rsid w:val="00F229BC"/>
    <w:rsid w:val="00F266F6"/>
    <w:rsid w:val="00F26921"/>
    <w:rsid w:val="00F2787D"/>
    <w:rsid w:val="00F31A1C"/>
    <w:rsid w:val="00F33909"/>
    <w:rsid w:val="00F365E2"/>
    <w:rsid w:val="00F41A4C"/>
    <w:rsid w:val="00F44328"/>
    <w:rsid w:val="00F468E8"/>
    <w:rsid w:val="00F627E0"/>
    <w:rsid w:val="00F802E1"/>
    <w:rsid w:val="00F86267"/>
    <w:rsid w:val="00F86F6C"/>
    <w:rsid w:val="00F929C8"/>
    <w:rsid w:val="00FA2F56"/>
    <w:rsid w:val="00FC105B"/>
    <w:rsid w:val="00FC2C48"/>
    <w:rsid w:val="00FC4F7F"/>
    <w:rsid w:val="00FC53A2"/>
    <w:rsid w:val="00FC7E01"/>
    <w:rsid w:val="00FD252A"/>
    <w:rsid w:val="00FD4510"/>
    <w:rsid w:val="00FD64F8"/>
    <w:rsid w:val="00FD650C"/>
    <w:rsid w:val="00FD7A29"/>
    <w:rsid w:val="00FE14DB"/>
    <w:rsid w:val="00FE34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3B67B"/>
  <w15:chartTrackingRefBased/>
  <w15:docId w15:val="{75B1959A-B979-FB43-BFA1-305A615E8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13A"/>
    <w:pPr>
      <w:spacing w:after="200" w:line="276" w:lineRule="auto"/>
    </w:pPr>
  </w:style>
  <w:style w:type="paragraph" w:styleId="Ttulo1">
    <w:name w:val="heading 1"/>
    <w:basedOn w:val="Normal"/>
    <w:next w:val="Normal"/>
    <w:link w:val="Ttulo1Char"/>
    <w:uiPriority w:val="9"/>
    <w:qFormat/>
    <w:rsid w:val="003D3437"/>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har"/>
    <w:uiPriority w:val="9"/>
    <w:unhideWhenUsed/>
    <w:qFormat/>
    <w:rsid w:val="003D3437"/>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har"/>
    <w:uiPriority w:val="9"/>
    <w:unhideWhenUsed/>
    <w:qFormat/>
    <w:rsid w:val="003D3437"/>
    <w:pPr>
      <w:keepNext/>
      <w:spacing w:before="240" w:after="60"/>
      <w:outlineLvl w:val="2"/>
    </w:pPr>
    <w:rPr>
      <w:rFonts w:ascii="Calibri Light" w:eastAsia="Times New Roman" w:hAnsi="Calibri Light" w:cs="Times New Roman"/>
      <w:b/>
      <w:bCs/>
      <w:sz w:val="26"/>
      <w:szCs w:val="26"/>
      <w:lang w:val="pt-PT"/>
    </w:rPr>
  </w:style>
  <w:style w:type="paragraph" w:styleId="Ttulo5">
    <w:name w:val="heading 5"/>
    <w:basedOn w:val="Normal"/>
    <w:next w:val="Normal"/>
    <w:link w:val="Ttulo5Char"/>
    <w:uiPriority w:val="9"/>
    <w:unhideWhenUsed/>
    <w:qFormat/>
    <w:rsid w:val="00094B1A"/>
    <w:pPr>
      <w:spacing w:after="160"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3437"/>
    <w:rPr>
      <w:rFonts w:ascii="Cambria" w:eastAsia="Times New Roman" w:hAnsi="Cambria" w:cs="Times New Roman"/>
      <w:b/>
      <w:bCs/>
      <w:color w:val="365F91"/>
      <w:sz w:val="28"/>
      <w:szCs w:val="28"/>
    </w:rPr>
  </w:style>
  <w:style w:type="character" w:customStyle="1" w:styleId="Ttulo2Char">
    <w:name w:val="Título 2 Char"/>
    <w:basedOn w:val="Fontepargpadro"/>
    <w:link w:val="Ttulo2"/>
    <w:uiPriority w:val="9"/>
    <w:rsid w:val="003D3437"/>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rsid w:val="003D3437"/>
    <w:rPr>
      <w:rFonts w:ascii="Calibri Light" w:eastAsia="Times New Roman" w:hAnsi="Calibri Light" w:cs="Times New Roman"/>
      <w:b/>
      <w:bCs/>
      <w:sz w:val="26"/>
      <w:szCs w:val="26"/>
      <w:lang w:val="pt-PT"/>
    </w:rPr>
  </w:style>
  <w:style w:type="paragraph" w:styleId="Textodenotaderodap">
    <w:name w:val="footnote text"/>
    <w:aliases w:val="Testo nota a piè di pagina (ingles),fn,footnote text,Footnotes,Footnote ak,ALTS FOOTNOTE"/>
    <w:basedOn w:val="Normal"/>
    <w:link w:val="TextodenotaderodapChar"/>
    <w:uiPriority w:val="99"/>
    <w:unhideWhenUsed/>
    <w:qFormat/>
    <w:rsid w:val="003D3437"/>
    <w:rPr>
      <w:rFonts w:ascii="Calibri" w:eastAsia="Calibri" w:hAnsi="Calibri" w:cs="Times New Roman"/>
      <w:sz w:val="20"/>
      <w:szCs w:val="20"/>
    </w:rPr>
  </w:style>
  <w:style w:type="character" w:customStyle="1" w:styleId="TextodenotaderodapChar">
    <w:name w:val="Texto de nota de rodapé Char"/>
    <w:aliases w:val="Testo nota a piè di pagina (ingles) Char,fn Char,footnote text Char,Footnotes Char,Footnote ak Char,ALTS FOOTNOTE Char"/>
    <w:basedOn w:val="Fontepargpadro"/>
    <w:link w:val="Textodenotaderodap"/>
    <w:uiPriority w:val="99"/>
    <w:qFormat/>
    <w:rsid w:val="003D3437"/>
    <w:rPr>
      <w:rFonts w:ascii="Calibri" w:eastAsia="Calibri" w:hAnsi="Calibri" w:cs="Times New Roman"/>
      <w:sz w:val="20"/>
      <w:szCs w:val="20"/>
    </w:rPr>
  </w:style>
  <w:style w:type="character" w:styleId="Refdenotaderodap">
    <w:name w:val="footnote reference"/>
    <w:aliases w:val="sobrescrito,Footnotes refss,Texto de nota al pie,referencia nota al pie,BVI fnr,Ref,de nota al pie,fr,(NECG) Footnote Reference,FC,Nota de rodapé LRB,000b, BVI fnr"/>
    <w:uiPriority w:val="99"/>
    <w:unhideWhenUsed/>
    <w:qFormat/>
    <w:rsid w:val="003D3437"/>
    <w:rPr>
      <w:vertAlign w:val="superscript"/>
    </w:rPr>
  </w:style>
  <w:style w:type="paragraph" w:styleId="PargrafodaLista">
    <w:name w:val="List Paragraph"/>
    <w:basedOn w:val="Normal"/>
    <w:uiPriority w:val="34"/>
    <w:qFormat/>
    <w:rsid w:val="003D3437"/>
    <w:pPr>
      <w:ind w:left="720"/>
      <w:contextualSpacing/>
    </w:pPr>
    <w:rPr>
      <w:rFonts w:ascii="Calibri" w:eastAsia="Calibri" w:hAnsi="Calibri" w:cs="Times New Roman"/>
    </w:rPr>
  </w:style>
  <w:style w:type="paragraph" w:styleId="CabealhodoSumrio">
    <w:name w:val="TOC Heading"/>
    <w:basedOn w:val="Ttulo1"/>
    <w:next w:val="Normal"/>
    <w:uiPriority w:val="39"/>
    <w:unhideWhenUsed/>
    <w:qFormat/>
    <w:rsid w:val="003D3437"/>
    <w:pPr>
      <w:outlineLvl w:val="9"/>
    </w:pPr>
  </w:style>
  <w:style w:type="paragraph" w:styleId="Sumrio2">
    <w:name w:val="toc 2"/>
    <w:basedOn w:val="Normal"/>
    <w:next w:val="Normal"/>
    <w:autoRedefine/>
    <w:uiPriority w:val="39"/>
    <w:unhideWhenUsed/>
    <w:qFormat/>
    <w:rsid w:val="003D3437"/>
    <w:pPr>
      <w:tabs>
        <w:tab w:val="left" w:pos="0"/>
        <w:tab w:val="left" w:pos="440"/>
        <w:tab w:val="left" w:pos="660"/>
      </w:tabs>
      <w:spacing w:after="100"/>
      <w:jc w:val="both"/>
    </w:pPr>
    <w:rPr>
      <w:rFonts w:ascii="Calibri" w:eastAsia="Times New Roman" w:hAnsi="Calibri" w:cs="Times New Roman"/>
    </w:rPr>
  </w:style>
  <w:style w:type="paragraph" w:styleId="Sumrio1">
    <w:name w:val="toc 1"/>
    <w:basedOn w:val="Normal"/>
    <w:next w:val="Normal"/>
    <w:autoRedefine/>
    <w:uiPriority w:val="39"/>
    <w:unhideWhenUsed/>
    <w:qFormat/>
    <w:rsid w:val="00DF2441"/>
    <w:pPr>
      <w:tabs>
        <w:tab w:val="left" w:pos="0"/>
        <w:tab w:val="right" w:leader="dot" w:pos="9071"/>
      </w:tabs>
      <w:spacing w:after="100"/>
      <w:jc w:val="both"/>
    </w:pPr>
    <w:rPr>
      <w:rFonts w:ascii="Calibri" w:eastAsia="Times New Roman" w:hAnsi="Calibri" w:cs="Times New Roman"/>
    </w:rPr>
  </w:style>
  <w:style w:type="paragraph" w:styleId="Sumrio3">
    <w:name w:val="toc 3"/>
    <w:basedOn w:val="Normal"/>
    <w:next w:val="Normal"/>
    <w:autoRedefine/>
    <w:uiPriority w:val="39"/>
    <w:unhideWhenUsed/>
    <w:qFormat/>
    <w:rsid w:val="003D3437"/>
    <w:pPr>
      <w:tabs>
        <w:tab w:val="left" w:pos="440"/>
        <w:tab w:val="left" w:pos="851"/>
        <w:tab w:val="right" w:leader="dot" w:pos="9071"/>
      </w:tabs>
      <w:spacing w:after="100"/>
      <w:ind w:left="440" w:hanging="440"/>
    </w:pPr>
    <w:rPr>
      <w:rFonts w:ascii="Calibri" w:eastAsia="Times New Roman" w:hAnsi="Calibri" w:cs="Times New Roman"/>
    </w:rPr>
  </w:style>
  <w:style w:type="paragraph" w:styleId="Textodebalo">
    <w:name w:val="Balloon Text"/>
    <w:basedOn w:val="Normal"/>
    <w:link w:val="TextodebaloChar"/>
    <w:uiPriority w:val="99"/>
    <w:semiHidden/>
    <w:unhideWhenUsed/>
    <w:rsid w:val="003D3437"/>
    <w:pPr>
      <w:spacing w:after="0" w:line="240" w:lineRule="auto"/>
    </w:pPr>
    <w:rPr>
      <w:rFonts w:ascii="Tahoma" w:eastAsia="Calibri" w:hAnsi="Tahoma" w:cs="Times New Roman"/>
      <w:sz w:val="16"/>
      <w:szCs w:val="16"/>
    </w:rPr>
  </w:style>
  <w:style w:type="character" w:customStyle="1" w:styleId="TextodebaloChar">
    <w:name w:val="Texto de balão Char"/>
    <w:basedOn w:val="Fontepargpadro"/>
    <w:link w:val="Textodebalo"/>
    <w:uiPriority w:val="99"/>
    <w:semiHidden/>
    <w:rsid w:val="003D3437"/>
    <w:rPr>
      <w:rFonts w:ascii="Tahoma" w:eastAsia="Calibri" w:hAnsi="Tahoma" w:cs="Times New Roman"/>
      <w:sz w:val="16"/>
      <w:szCs w:val="16"/>
    </w:rPr>
  </w:style>
  <w:style w:type="paragraph" w:styleId="Cabealho">
    <w:name w:val="header"/>
    <w:basedOn w:val="Normal"/>
    <w:link w:val="CabealhoChar"/>
    <w:unhideWhenUsed/>
    <w:rsid w:val="003D3437"/>
    <w:pPr>
      <w:tabs>
        <w:tab w:val="center" w:pos="4252"/>
        <w:tab w:val="right" w:pos="8504"/>
      </w:tabs>
    </w:pPr>
    <w:rPr>
      <w:rFonts w:ascii="Calibri" w:eastAsia="Calibri" w:hAnsi="Calibri" w:cs="Times New Roman"/>
    </w:rPr>
  </w:style>
  <w:style w:type="character" w:customStyle="1" w:styleId="CabealhoChar">
    <w:name w:val="Cabeçalho Char"/>
    <w:basedOn w:val="Fontepargpadro"/>
    <w:link w:val="Cabealho"/>
    <w:uiPriority w:val="99"/>
    <w:rsid w:val="003D3437"/>
    <w:rPr>
      <w:rFonts w:ascii="Calibri" w:eastAsia="Calibri" w:hAnsi="Calibri" w:cs="Times New Roman"/>
    </w:rPr>
  </w:style>
  <w:style w:type="paragraph" w:styleId="Rodap">
    <w:name w:val="footer"/>
    <w:basedOn w:val="Normal"/>
    <w:link w:val="RodapChar"/>
    <w:uiPriority w:val="99"/>
    <w:unhideWhenUsed/>
    <w:rsid w:val="003D343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3D3437"/>
    <w:rPr>
      <w:rFonts w:ascii="Calibri" w:eastAsia="Calibri" w:hAnsi="Calibri" w:cs="Times New Roman"/>
    </w:rPr>
  </w:style>
  <w:style w:type="character" w:styleId="Hyperlink">
    <w:name w:val="Hyperlink"/>
    <w:uiPriority w:val="99"/>
    <w:unhideWhenUsed/>
    <w:rsid w:val="003D3437"/>
    <w:rPr>
      <w:color w:val="0000FF"/>
      <w:u w:val="single"/>
    </w:rPr>
  </w:style>
  <w:style w:type="character" w:styleId="TtulodoLivro">
    <w:name w:val="Book Title"/>
    <w:uiPriority w:val="33"/>
    <w:qFormat/>
    <w:rsid w:val="003D3437"/>
    <w:rPr>
      <w:b/>
      <w:bCs/>
      <w:i/>
      <w:iCs/>
      <w:spacing w:val="5"/>
    </w:rPr>
  </w:style>
  <w:style w:type="paragraph" w:styleId="NormalWeb">
    <w:name w:val="Normal (Web)"/>
    <w:basedOn w:val="Normal"/>
    <w:uiPriority w:val="99"/>
    <w:unhideWhenUsed/>
    <w:rsid w:val="003D343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rsid w:val="003D3437"/>
  </w:style>
  <w:style w:type="character" w:styleId="Forte">
    <w:name w:val="Strong"/>
    <w:uiPriority w:val="22"/>
    <w:qFormat/>
    <w:rsid w:val="003D3437"/>
    <w:rPr>
      <w:b/>
      <w:bCs/>
    </w:rPr>
  </w:style>
  <w:style w:type="character" w:styleId="Nmerodelinha">
    <w:name w:val="line number"/>
    <w:uiPriority w:val="99"/>
    <w:semiHidden/>
    <w:unhideWhenUsed/>
    <w:rsid w:val="003D3437"/>
  </w:style>
  <w:style w:type="paragraph" w:styleId="Reviso">
    <w:name w:val="Revision"/>
    <w:hidden/>
    <w:uiPriority w:val="99"/>
    <w:semiHidden/>
    <w:rsid w:val="003D3437"/>
    <w:pPr>
      <w:spacing w:after="0" w:line="240" w:lineRule="auto"/>
    </w:pPr>
    <w:rPr>
      <w:rFonts w:ascii="Calibri" w:eastAsia="Calibri" w:hAnsi="Calibri" w:cs="Times New Roman"/>
    </w:rPr>
  </w:style>
  <w:style w:type="paragraph" w:styleId="Pr-formataoHTML">
    <w:name w:val="HTML Preformatted"/>
    <w:basedOn w:val="Normal"/>
    <w:link w:val="Pr-formataoHTMLChar"/>
    <w:uiPriority w:val="99"/>
    <w:unhideWhenUsed/>
    <w:rsid w:val="003D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Times New Roman"/>
      <w:sz w:val="20"/>
      <w:szCs w:val="20"/>
    </w:rPr>
  </w:style>
  <w:style w:type="character" w:customStyle="1" w:styleId="Pr-formataoHTMLChar">
    <w:name w:val="Pré-formatação HTML Char"/>
    <w:basedOn w:val="Fontepargpadro"/>
    <w:link w:val="Pr-formataoHTML"/>
    <w:uiPriority w:val="99"/>
    <w:rsid w:val="003D3437"/>
    <w:rPr>
      <w:rFonts w:ascii="Verdana" w:eastAsia="Times New Roman" w:hAnsi="Verdana" w:cs="Times New Roman"/>
      <w:sz w:val="20"/>
      <w:szCs w:val="20"/>
    </w:rPr>
  </w:style>
  <w:style w:type="character" w:customStyle="1" w:styleId="highlightbrs4">
    <w:name w:val="highlightbrs4"/>
    <w:rsid w:val="003D3437"/>
    <w:rPr>
      <w:b/>
      <w:bCs/>
      <w:vanish w:val="0"/>
      <w:webHidden w:val="0"/>
      <w:color w:val="FF0000"/>
      <w:specVanish w:val="0"/>
    </w:rPr>
  </w:style>
  <w:style w:type="character" w:styleId="nfase">
    <w:name w:val="Emphasis"/>
    <w:uiPriority w:val="20"/>
    <w:qFormat/>
    <w:rsid w:val="003D3437"/>
    <w:rPr>
      <w:i/>
      <w:iCs/>
    </w:rPr>
  </w:style>
  <w:style w:type="paragraph" w:customStyle="1" w:styleId="TGC">
    <w:name w:val="TGC"/>
    <w:rsid w:val="003D3437"/>
    <w:pPr>
      <w:widowControl w:val="0"/>
      <w:tabs>
        <w:tab w:val="left" w:pos="567"/>
      </w:tabs>
      <w:spacing w:after="0" w:line="360" w:lineRule="auto"/>
      <w:jc w:val="both"/>
    </w:pPr>
    <w:rPr>
      <w:rFonts w:ascii="Times New Roman" w:eastAsia="Times New Roman" w:hAnsi="Times New Roman" w:cs="Times New Roman"/>
      <w:noProof/>
      <w:sz w:val="24"/>
      <w:szCs w:val="20"/>
      <w:lang w:eastAsia="pt-BR"/>
    </w:rPr>
  </w:style>
  <w:style w:type="character" w:styleId="Refdecomentrio">
    <w:name w:val="annotation reference"/>
    <w:uiPriority w:val="99"/>
    <w:semiHidden/>
    <w:unhideWhenUsed/>
    <w:rsid w:val="003D3437"/>
    <w:rPr>
      <w:sz w:val="16"/>
      <w:szCs w:val="16"/>
    </w:rPr>
  </w:style>
  <w:style w:type="paragraph" w:styleId="Textodecomentrio">
    <w:name w:val="annotation text"/>
    <w:basedOn w:val="Normal"/>
    <w:link w:val="TextodecomentrioChar"/>
    <w:uiPriority w:val="99"/>
    <w:semiHidden/>
    <w:unhideWhenUsed/>
    <w:rsid w:val="003D3437"/>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3D343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3D3437"/>
    <w:rPr>
      <w:b/>
      <w:bCs/>
    </w:rPr>
  </w:style>
  <w:style w:type="character" w:customStyle="1" w:styleId="AssuntodocomentrioChar">
    <w:name w:val="Assunto do comentário Char"/>
    <w:basedOn w:val="TextodecomentrioChar"/>
    <w:link w:val="Assuntodocomentrio"/>
    <w:uiPriority w:val="99"/>
    <w:semiHidden/>
    <w:rsid w:val="003D3437"/>
    <w:rPr>
      <w:rFonts w:ascii="Calibri" w:eastAsia="Calibri" w:hAnsi="Calibri" w:cs="Times New Roman"/>
      <w:b/>
      <w:bCs/>
      <w:sz w:val="20"/>
      <w:szCs w:val="20"/>
    </w:rPr>
  </w:style>
  <w:style w:type="paragraph" w:styleId="SemEspaamento">
    <w:name w:val="No Spacing"/>
    <w:uiPriority w:val="1"/>
    <w:qFormat/>
    <w:rsid w:val="003D3437"/>
    <w:pPr>
      <w:spacing w:after="0" w:line="240" w:lineRule="auto"/>
    </w:pPr>
    <w:rPr>
      <w:rFonts w:ascii="Calibri" w:eastAsia="Calibri" w:hAnsi="Calibri" w:cs="Times New Roman"/>
    </w:rPr>
  </w:style>
  <w:style w:type="character" w:customStyle="1" w:styleId="bylinename">
    <w:name w:val="byline__name"/>
    <w:basedOn w:val="Fontepargpadro"/>
    <w:rsid w:val="003D3437"/>
  </w:style>
  <w:style w:type="paragraph" w:customStyle="1" w:styleId="paragnormal">
    <w:name w:val="paragnormal"/>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styleId="HiperlinkVisitado">
    <w:name w:val="FollowedHyperlink"/>
    <w:basedOn w:val="Fontepargpadro"/>
    <w:uiPriority w:val="99"/>
    <w:semiHidden/>
    <w:unhideWhenUsed/>
    <w:rsid w:val="003D3437"/>
    <w:rPr>
      <w:color w:val="800080"/>
      <w:u w:val="single"/>
    </w:rPr>
  </w:style>
  <w:style w:type="character" w:customStyle="1" w:styleId="Meno1">
    <w:name w:val="Menção1"/>
    <w:basedOn w:val="Fontepargpadro"/>
    <w:uiPriority w:val="99"/>
    <w:semiHidden/>
    <w:unhideWhenUsed/>
    <w:rsid w:val="003D3437"/>
    <w:rPr>
      <w:color w:val="2B579A"/>
      <w:shd w:val="clear" w:color="auto" w:fill="E6E6E6"/>
    </w:rPr>
  </w:style>
  <w:style w:type="paragraph" w:customStyle="1" w:styleId="optxtp">
    <w:name w:val="op_txt_p"/>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7d2086b4">
    <w:name w:val="s7d2086b4"/>
    <w:basedOn w:val="Fontepargpadro"/>
    <w:rsid w:val="003D3437"/>
  </w:style>
  <w:style w:type="character" w:customStyle="1" w:styleId="MenoPendente1">
    <w:name w:val="Menção Pendente1"/>
    <w:basedOn w:val="Fontepargpadro"/>
    <w:uiPriority w:val="99"/>
    <w:semiHidden/>
    <w:unhideWhenUsed/>
    <w:rsid w:val="003D3437"/>
    <w:rPr>
      <w:color w:val="808080"/>
      <w:shd w:val="clear" w:color="auto" w:fill="E6E6E6"/>
    </w:rPr>
  </w:style>
  <w:style w:type="paragraph" w:styleId="Corpodetexto">
    <w:name w:val="Body Text"/>
    <w:basedOn w:val="Normal"/>
    <w:link w:val="CorpodetextoChar"/>
    <w:uiPriority w:val="1"/>
    <w:unhideWhenUsed/>
    <w:qFormat/>
    <w:rsid w:val="003D343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1"/>
    <w:rsid w:val="003D3437"/>
    <w:rPr>
      <w:rFonts w:ascii="Times New Roman" w:eastAsia="Times New Roman" w:hAnsi="Times New Roman" w:cs="Times New Roman"/>
      <w:sz w:val="24"/>
      <w:szCs w:val="24"/>
      <w:lang w:eastAsia="pt-BR"/>
    </w:rPr>
  </w:style>
  <w:style w:type="character" w:customStyle="1" w:styleId="Mencinsinresolver1">
    <w:name w:val="Mención sin resolver1"/>
    <w:basedOn w:val="Fontepargpadro"/>
    <w:uiPriority w:val="99"/>
    <w:semiHidden/>
    <w:unhideWhenUsed/>
    <w:rsid w:val="00AA745D"/>
    <w:rPr>
      <w:color w:val="808080"/>
      <w:shd w:val="clear" w:color="auto" w:fill="E6E6E6"/>
    </w:rPr>
  </w:style>
  <w:style w:type="character" w:customStyle="1" w:styleId="alt-edited">
    <w:name w:val="alt-edited"/>
    <w:basedOn w:val="Fontepargpadro"/>
    <w:rsid w:val="0049362F"/>
  </w:style>
  <w:style w:type="character" w:customStyle="1" w:styleId="hvr">
    <w:name w:val="hvr"/>
    <w:basedOn w:val="Fontepargpadro"/>
    <w:rsid w:val="001B1473"/>
  </w:style>
  <w:style w:type="character" w:styleId="CitaoHTML">
    <w:name w:val="HTML Cite"/>
    <w:rsid w:val="00DE0A30"/>
    <w:rPr>
      <w:rFonts w:cs="Times New Roman"/>
      <w:i/>
      <w:iCs/>
    </w:rPr>
  </w:style>
  <w:style w:type="paragraph" w:customStyle="1" w:styleId="Default">
    <w:name w:val="Default"/>
    <w:rsid w:val="00DE0A30"/>
    <w:pPr>
      <w:autoSpaceDE w:val="0"/>
      <w:autoSpaceDN w:val="0"/>
      <w:adjustRightInd w:val="0"/>
      <w:spacing w:after="0" w:line="240" w:lineRule="auto"/>
      <w:jc w:val="both"/>
    </w:pPr>
    <w:rPr>
      <w:rFonts w:ascii="Arial" w:eastAsia="Times New Roman" w:hAnsi="Arial" w:cs="Arial"/>
      <w:color w:val="000000"/>
      <w:sz w:val="24"/>
      <w:szCs w:val="24"/>
      <w:lang w:eastAsia="pt-BR"/>
    </w:rPr>
  </w:style>
  <w:style w:type="character" w:styleId="MenoPendente">
    <w:name w:val="Unresolved Mention"/>
    <w:basedOn w:val="Fontepargpadro"/>
    <w:uiPriority w:val="99"/>
    <w:semiHidden/>
    <w:unhideWhenUsed/>
    <w:rsid w:val="00C535E7"/>
    <w:rPr>
      <w:color w:val="605E5C"/>
      <w:shd w:val="clear" w:color="auto" w:fill="E1DFDD"/>
    </w:rPr>
  </w:style>
  <w:style w:type="character" w:styleId="Nmerodepgina">
    <w:name w:val="page number"/>
    <w:basedOn w:val="Fontepargpadro"/>
    <w:uiPriority w:val="99"/>
    <w:semiHidden/>
    <w:unhideWhenUsed/>
    <w:rsid w:val="00026B5B"/>
  </w:style>
  <w:style w:type="character" w:customStyle="1" w:styleId="Ttulo5Char">
    <w:name w:val="Título 5 Char"/>
    <w:basedOn w:val="Fontepargpadro"/>
    <w:link w:val="Ttulo5"/>
    <w:uiPriority w:val="9"/>
    <w:rsid w:val="00094B1A"/>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4148852">
      <w:bodyDiv w:val="1"/>
      <w:marLeft w:val="0"/>
      <w:marRight w:val="0"/>
      <w:marTop w:val="0"/>
      <w:marBottom w:val="0"/>
      <w:divBdr>
        <w:top w:val="none" w:sz="0" w:space="0" w:color="auto"/>
        <w:left w:val="none" w:sz="0" w:space="0" w:color="auto"/>
        <w:bottom w:val="none" w:sz="0" w:space="0" w:color="auto"/>
        <w:right w:val="none" w:sz="0" w:space="0" w:color="auto"/>
      </w:divBdr>
    </w:div>
    <w:div w:id="160853108">
      <w:bodyDiv w:val="1"/>
      <w:marLeft w:val="0"/>
      <w:marRight w:val="0"/>
      <w:marTop w:val="0"/>
      <w:marBottom w:val="0"/>
      <w:divBdr>
        <w:top w:val="none" w:sz="0" w:space="0" w:color="auto"/>
        <w:left w:val="none" w:sz="0" w:space="0" w:color="auto"/>
        <w:bottom w:val="none" w:sz="0" w:space="0" w:color="auto"/>
        <w:right w:val="none" w:sz="0" w:space="0" w:color="auto"/>
      </w:divBdr>
    </w:div>
    <w:div w:id="292640646">
      <w:bodyDiv w:val="1"/>
      <w:marLeft w:val="0"/>
      <w:marRight w:val="0"/>
      <w:marTop w:val="0"/>
      <w:marBottom w:val="0"/>
      <w:divBdr>
        <w:top w:val="none" w:sz="0" w:space="0" w:color="auto"/>
        <w:left w:val="none" w:sz="0" w:space="0" w:color="auto"/>
        <w:bottom w:val="none" w:sz="0" w:space="0" w:color="auto"/>
        <w:right w:val="none" w:sz="0" w:space="0" w:color="auto"/>
      </w:divBdr>
    </w:div>
    <w:div w:id="480196982">
      <w:bodyDiv w:val="1"/>
      <w:marLeft w:val="0"/>
      <w:marRight w:val="0"/>
      <w:marTop w:val="0"/>
      <w:marBottom w:val="0"/>
      <w:divBdr>
        <w:top w:val="none" w:sz="0" w:space="0" w:color="auto"/>
        <w:left w:val="none" w:sz="0" w:space="0" w:color="auto"/>
        <w:bottom w:val="none" w:sz="0" w:space="0" w:color="auto"/>
        <w:right w:val="none" w:sz="0" w:space="0" w:color="auto"/>
      </w:divBdr>
    </w:div>
    <w:div w:id="495389772">
      <w:bodyDiv w:val="1"/>
      <w:marLeft w:val="0"/>
      <w:marRight w:val="0"/>
      <w:marTop w:val="0"/>
      <w:marBottom w:val="0"/>
      <w:divBdr>
        <w:top w:val="none" w:sz="0" w:space="0" w:color="auto"/>
        <w:left w:val="none" w:sz="0" w:space="0" w:color="auto"/>
        <w:bottom w:val="none" w:sz="0" w:space="0" w:color="auto"/>
        <w:right w:val="none" w:sz="0" w:space="0" w:color="auto"/>
      </w:divBdr>
    </w:div>
    <w:div w:id="505555042">
      <w:bodyDiv w:val="1"/>
      <w:marLeft w:val="0"/>
      <w:marRight w:val="0"/>
      <w:marTop w:val="0"/>
      <w:marBottom w:val="0"/>
      <w:divBdr>
        <w:top w:val="none" w:sz="0" w:space="0" w:color="auto"/>
        <w:left w:val="none" w:sz="0" w:space="0" w:color="auto"/>
        <w:bottom w:val="none" w:sz="0" w:space="0" w:color="auto"/>
        <w:right w:val="none" w:sz="0" w:space="0" w:color="auto"/>
      </w:divBdr>
    </w:div>
    <w:div w:id="556745030">
      <w:bodyDiv w:val="1"/>
      <w:marLeft w:val="0"/>
      <w:marRight w:val="0"/>
      <w:marTop w:val="0"/>
      <w:marBottom w:val="0"/>
      <w:divBdr>
        <w:top w:val="none" w:sz="0" w:space="0" w:color="auto"/>
        <w:left w:val="none" w:sz="0" w:space="0" w:color="auto"/>
        <w:bottom w:val="none" w:sz="0" w:space="0" w:color="auto"/>
        <w:right w:val="none" w:sz="0" w:space="0" w:color="auto"/>
      </w:divBdr>
    </w:div>
    <w:div w:id="560291006">
      <w:bodyDiv w:val="1"/>
      <w:marLeft w:val="0"/>
      <w:marRight w:val="0"/>
      <w:marTop w:val="0"/>
      <w:marBottom w:val="0"/>
      <w:divBdr>
        <w:top w:val="none" w:sz="0" w:space="0" w:color="auto"/>
        <w:left w:val="none" w:sz="0" w:space="0" w:color="auto"/>
        <w:bottom w:val="none" w:sz="0" w:space="0" w:color="auto"/>
        <w:right w:val="none" w:sz="0" w:space="0" w:color="auto"/>
      </w:divBdr>
    </w:div>
    <w:div w:id="628628869">
      <w:bodyDiv w:val="1"/>
      <w:marLeft w:val="0"/>
      <w:marRight w:val="0"/>
      <w:marTop w:val="0"/>
      <w:marBottom w:val="0"/>
      <w:divBdr>
        <w:top w:val="none" w:sz="0" w:space="0" w:color="auto"/>
        <w:left w:val="none" w:sz="0" w:space="0" w:color="auto"/>
        <w:bottom w:val="none" w:sz="0" w:space="0" w:color="auto"/>
        <w:right w:val="none" w:sz="0" w:space="0" w:color="auto"/>
      </w:divBdr>
    </w:div>
    <w:div w:id="653264786">
      <w:bodyDiv w:val="1"/>
      <w:marLeft w:val="0"/>
      <w:marRight w:val="0"/>
      <w:marTop w:val="0"/>
      <w:marBottom w:val="0"/>
      <w:divBdr>
        <w:top w:val="none" w:sz="0" w:space="0" w:color="auto"/>
        <w:left w:val="none" w:sz="0" w:space="0" w:color="auto"/>
        <w:bottom w:val="none" w:sz="0" w:space="0" w:color="auto"/>
        <w:right w:val="none" w:sz="0" w:space="0" w:color="auto"/>
      </w:divBdr>
    </w:div>
    <w:div w:id="684213381">
      <w:bodyDiv w:val="1"/>
      <w:marLeft w:val="0"/>
      <w:marRight w:val="0"/>
      <w:marTop w:val="0"/>
      <w:marBottom w:val="0"/>
      <w:divBdr>
        <w:top w:val="none" w:sz="0" w:space="0" w:color="auto"/>
        <w:left w:val="none" w:sz="0" w:space="0" w:color="auto"/>
        <w:bottom w:val="none" w:sz="0" w:space="0" w:color="auto"/>
        <w:right w:val="none" w:sz="0" w:space="0" w:color="auto"/>
      </w:divBdr>
    </w:div>
    <w:div w:id="791484884">
      <w:bodyDiv w:val="1"/>
      <w:marLeft w:val="0"/>
      <w:marRight w:val="0"/>
      <w:marTop w:val="0"/>
      <w:marBottom w:val="0"/>
      <w:divBdr>
        <w:top w:val="none" w:sz="0" w:space="0" w:color="auto"/>
        <w:left w:val="none" w:sz="0" w:space="0" w:color="auto"/>
        <w:bottom w:val="none" w:sz="0" w:space="0" w:color="auto"/>
        <w:right w:val="none" w:sz="0" w:space="0" w:color="auto"/>
      </w:divBdr>
    </w:div>
    <w:div w:id="799080914">
      <w:bodyDiv w:val="1"/>
      <w:marLeft w:val="0"/>
      <w:marRight w:val="0"/>
      <w:marTop w:val="0"/>
      <w:marBottom w:val="0"/>
      <w:divBdr>
        <w:top w:val="none" w:sz="0" w:space="0" w:color="auto"/>
        <w:left w:val="none" w:sz="0" w:space="0" w:color="auto"/>
        <w:bottom w:val="none" w:sz="0" w:space="0" w:color="auto"/>
        <w:right w:val="none" w:sz="0" w:space="0" w:color="auto"/>
      </w:divBdr>
      <w:divsChild>
        <w:div w:id="2136561007">
          <w:marLeft w:val="60"/>
          <w:marRight w:val="0"/>
          <w:marTop w:val="0"/>
          <w:marBottom w:val="0"/>
          <w:divBdr>
            <w:top w:val="none" w:sz="0" w:space="0" w:color="auto"/>
            <w:left w:val="none" w:sz="0" w:space="0" w:color="auto"/>
            <w:bottom w:val="none" w:sz="0" w:space="0" w:color="auto"/>
            <w:right w:val="none" w:sz="0" w:space="0" w:color="auto"/>
          </w:divBdr>
          <w:divsChild>
            <w:div w:id="1741976934">
              <w:marLeft w:val="0"/>
              <w:marRight w:val="0"/>
              <w:marTop w:val="0"/>
              <w:marBottom w:val="0"/>
              <w:divBdr>
                <w:top w:val="none" w:sz="0" w:space="0" w:color="auto"/>
                <w:left w:val="none" w:sz="0" w:space="0" w:color="auto"/>
                <w:bottom w:val="none" w:sz="0" w:space="0" w:color="auto"/>
                <w:right w:val="none" w:sz="0" w:space="0" w:color="auto"/>
              </w:divBdr>
              <w:divsChild>
                <w:div w:id="897665629">
                  <w:marLeft w:val="0"/>
                  <w:marRight w:val="0"/>
                  <w:marTop w:val="0"/>
                  <w:marBottom w:val="120"/>
                  <w:divBdr>
                    <w:top w:val="single" w:sz="6" w:space="0" w:color="F5F5F5"/>
                    <w:left w:val="single" w:sz="6" w:space="0" w:color="F5F5F5"/>
                    <w:bottom w:val="single" w:sz="6" w:space="0" w:color="F5F5F5"/>
                    <w:right w:val="single" w:sz="6" w:space="0" w:color="F5F5F5"/>
                  </w:divBdr>
                  <w:divsChild>
                    <w:div w:id="1464545828">
                      <w:marLeft w:val="0"/>
                      <w:marRight w:val="0"/>
                      <w:marTop w:val="0"/>
                      <w:marBottom w:val="0"/>
                      <w:divBdr>
                        <w:top w:val="none" w:sz="0" w:space="0" w:color="auto"/>
                        <w:left w:val="none" w:sz="0" w:space="0" w:color="auto"/>
                        <w:bottom w:val="none" w:sz="0" w:space="0" w:color="auto"/>
                        <w:right w:val="none" w:sz="0" w:space="0" w:color="auto"/>
                      </w:divBdr>
                      <w:divsChild>
                        <w:div w:id="15650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994222">
      <w:bodyDiv w:val="1"/>
      <w:marLeft w:val="0"/>
      <w:marRight w:val="0"/>
      <w:marTop w:val="0"/>
      <w:marBottom w:val="0"/>
      <w:divBdr>
        <w:top w:val="none" w:sz="0" w:space="0" w:color="auto"/>
        <w:left w:val="none" w:sz="0" w:space="0" w:color="auto"/>
        <w:bottom w:val="none" w:sz="0" w:space="0" w:color="auto"/>
        <w:right w:val="none" w:sz="0" w:space="0" w:color="auto"/>
      </w:divBdr>
    </w:div>
    <w:div w:id="1060328555">
      <w:bodyDiv w:val="1"/>
      <w:marLeft w:val="0"/>
      <w:marRight w:val="0"/>
      <w:marTop w:val="0"/>
      <w:marBottom w:val="0"/>
      <w:divBdr>
        <w:top w:val="none" w:sz="0" w:space="0" w:color="auto"/>
        <w:left w:val="none" w:sz="0" w:space="0" w:color="auto"/>
        <w:bottom w:val="none" w:sz="0" w:space="0" w:color="auto"/>
        <w:right w:val="none" w:sz="0" w:space="0" w:color="auto"/>
      </w:divBdr>
    </w:div>
    <w:div w:id="1119686946">
      <w:bodyDiv w:val="1"/>
      <w:marLeft w:val="0"/>
      <w:marRight w:val="0"/>
      <w:marTop w:val="0"/>
      <w:marBottom w:val="0"/>
      <w:divBdr>
        <w:top w:val="none" w:sz="0" w:space="0" w:color="auto"/>
        <w:left w:val="none" w:sz="0" w:space="0" w:color="auto"/>
        <w:bottom w:val="none" w:sz="0" w:space="0" w:color="auto"/>
        <w:right w:val="none" w:sz="0" w:space="0" w:color="auto"/>
      </w:divBdr>
    </w:div>
    <w:div w:id="1212838280">
      <w:bodyDiv w:val="1"/>
      <w:marLeft w:val="0"/>
      <w:marRight w:val="0"/>
      <w:marTop w:val="0"/>
      <w:marBottom w:val="0"/>
      <w:divBdr>
        <w:top w:val="none" w:sz="0" w:space="0" w:color="auto"/>
        <w:left w:val="none" w:sz="0" w:space="0" w:color="auto"/>
        <w:bottom w:val="none" w:sz="0" w:space="0" w:color="auto"/>
        <w:right w:val="none" w:sz="0" w:space="0" w:color="auto"/>
      </w:divBdr>
    </w:div>
    <w:div w:id="1423378518">
      <w:bodyDiv w:val="1"/>
      <w:marLeft w:val="0"/>
      <w:marRight w:val="0"/>
      <w:marTop w:val="0"/>
      <w:marBottom w:val="0"/>
      <w:divBdr>
        <w:top w:val="none" w:sz="0" w:space="0" w:color="auto"/>
        <w:left w:val="none" w:sz="0" w:space="0" w:color="auto"/>
        <w:bottom w:val="none" w:sz="0" w:space="0" w:color="auto"/>
        <w:right w:val="none" w:sz="0" w:space="0" w:color="auto"/>
      </w:divBdr>
    </w:div>
    <w:div w:id="1426226017">
      <w:bodyDiv w:val="1"/>
      <w:marLeft w:val="0"/>
      <w:marRight w:val="0"/>
      <w:marTop w:val="0"/>
      <w:marBottom w:val="0"/>
      <w:divBdr>
        <w:top w:val="none" w:sz="0" w:space="0" w:color="auto"/>
        <w:left w:val="none" w:sz="0" w:space="0" w:color="auto"/>
        <w:bottom w:val="none" w:sz="0" w:space="0" w:color="auto"/>
        <w:right w:val="none" w:sz="0" w:space="0" w:color="auto"/>
      </w:divBdr>
    </w:div>
    <w:div w:id="1640768925">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64888311">
      <w:bodyDiv w:val="1"/>
      <w:marLeft w:val="0"/>
      <w:marRight w:val="0"/>
      <w:marTop w:val="0"/>
      <w:marBottom w:val="0"/>
      <w:divBdr>
        <w:top w:val="none" w:sz="0" w:space="0" w:color="auto"/>
        <w:left w:val="none" w:sz="0" w:space="0" w:color="auto"/>
        <w:bottom w:val="none" w:sz="0" w:space="0" w:color="auto"/>
        <w:right w:val="none" w:sz="0" w:space="0" w:color="auto"/>
      </w:divBdr>
    </w:div>
    <w:div w:id="1703554964">
      <w:bodyDiv w:val="1"/>
      <w:marLeft w:val="0"/>
      <w:marRight w:val="0"/>
      <w:marTop w:val="0"/>
      <w:marBottom w:val="0"/>
      <w:divBdr>
        <w:top w:val="none" w:sz="0" w:space="0" w:color="auto"/>
        <w:left w:val="none" w:sz="0" w:space="0" w:color="auto"/>
        <w:bottom w:val="none" w:sz="0" w:space="0" w:color="auto"/>
        <w:right w:val="none" w:sz="0" w:space="0" w:color="auto"/>
      </w:divBdr>
    </w:div>
    <w:div w:id="1731073324">
      <w:bodyDiv w:val="1"/>
      <w:marLeft w:val="0"/>
      <w:marRight w:val="0"/>
      <w:marTop w:val="0"/>
      <w:marBottom w:val="0"/>
      <w:divBdr>
        <w:top w:val="none" w:sz="0" w:space="0" w:color="auto"/>
        <w:left w:val="none" w:sz="0" w:space="0" w:color="auto"/>
        <w:bottom w:val="none" w:sz="0" w:space="0" w:color="auto"/>
        <w:right w:val="none" w:sz="0" w:space="0" w:color="auto"/>
      </w:divBdr>
    </w:div>
    <w:div w:id="1793590825">
      <w:bodyDiv w:val="1"/>
      <w:marLeft w:val="0"/>
      <w:marRight w:val="0"/>
      <w:marTop w:val="0"/>
      <w:marBottom w:val="0"/>
      <w:divBdr>
        <w:top w:val="none" w:sz="0" w:space="0" w:color="auto"/>
        <w:left w:val="none" w:sz="0" w:space="0" w:color="auto"/>
        <w:bottom w:val="none" w:sz="0" w:space="0" w:color="auto"/>
        <w:right w:val="none" w:sz="0" w:space="0" w:color="auto"/>
      </w:divBdr>
      <w:divsChild>
        <w:div w:id="1899508674">
          <w:marLeft w:val="0"/>
          <w:marRight w:val="60"/>
          <w:marTop w:val="0"/>
          <w:marBottom w:val="0"/>
          <w:divBdr>
            <w:top w:val="none" w:sz="0" w:space="0" w:color="auto"/>
            <w:left w:val="none" w:sz="0" w:space="0" w:color="auto"/>
            <w:bottom w:val="none" w:sz="0" w:space="0" w:color="auto"/>
            <w:right w:val="none" w:sz="0" w:space="0" w:color="auto"/>
          </w:divBdr>
          <w:divsChild>
            <w:div w:id="1692486804">
              <w:marLeft w:val="0"/>
              <w:marRight w:val="0"/>
              <w:marTop w:val="0"/>
              <w:marBottom w:val="120"/>
              <w:divBdr>
                <w:top w:val="single" w:sz="6" w:space="0" w:color="C0C0C0"/>
                <w:left w:val="single" w:sz="6" w:space="0" w:color="D9D9D9"/>
                <w:bottom w:val="single" w:sz="6" w:space="0" w:color="D9D9D9"/>
                <w:right w:val="single" w:sz="6" w:space="0" w:color="D9D9D9"/>
              </w:divBdr>
              <w:divsChild>
                <w:div w:id="337199268">
                  <w:marLeft w:val="0"/>
                  <w:marRight w:val="0"/>
                  <w:marTop w:val="0"/>
                  <w:marBottom w:val="0"/>
                  <w:divBdr>
                    <w:top w:val="none" w:sz="0" w:space="0" w:color="auto"/>
                    <w:left w:val="none" w:sz="0" w:space="0" w:color="auto"/>
                    <w:bottom w:val="none" w:sz="0" w:space="0" w:color="auto"/>
                    <w:right w:val="none" w:sz="0" w:space="0" w:color="auto"/>
                  </w:divBdr>
                </w:div>
                <w:div w:id="19357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4343">
          <w:marLeft w:val="60"/>
          <w:marRight w:val="0"/>
          <w:marTop w:val="0"/>
          <w:marBottom w:val="0"/>
          <w:divBdr>
            <w:top w:val="none" w:sz="0" w:space="0" w:color="auto"/>
            <w:left w:val="none" w:sz="0" w:space="0" w:color="auto"/>
            <w:bottom w:val="none" w:sz="0" w:space="0" w:color="auto"/>
            <w:right w:val="none" w:sz="0" w:space="0" w:color="auto"/>
          </w:divBdr>
          <w:divsChild>
            <w:div w:id="141312178">
              <w:marLeft w:val="0"/>
              <w:marRight w:val="0"/>
              <w:marTop w:val="0"/>
              <w:marBottom w:val="0"/>
              <w:divBdr>
                <w:top w:val="none" w:sz="0" w:space="0" w:color="auto"/>
                <w:left w:val="none" w:sz="0" w:space="0" w:color="auto"/>
                <w:bottom w:val="none" w:sz="0" w:space="0" w:color="auto"/>
                <w:right w:val="none" w:sz="0" w:space="0" w:color="auto"/>
              </w:divBdr>
              <w:divsChild>
                <w:div w:id="133915345">
                  <w:marLeft w:val="0"/>
                  <w:marRight w:val="0"/>
                  <w:marTop w:val="0"/>
                  <w:marBottom w:val="120"/>
                  <w:divBdr>
                    <w:top w:val="single" w:sz="6" w:space="0" w:color="F5F5F5"/>
                    <w:left w:val="single" w:sz="6" w:space="0" w:color="F5F5F5"/>
                    <w:bottom w:val="single" w:sz="6" w:space="0" w:color="F5F5F5"/>
                    <w:right w:val="single" w:sz="6" w:space="0" w:color="F5F5F5"/>
                  </w:divBdr>
                  <w:divsChild>
                    <w:div w:id="745611353">
                      <w:marLeft w:val="0"/>
                      <w:marRight w:val="0"/>
                      <w:marTop w:val="0"/>
                      <w:marBottom w:val="0"/>
                      <w:divBdr>
                        <w:top w:val="none" w:sz="0" w:space="0" w:color="auto"/>
                        <w:left w:val="none" w:sz="0" w:space="0" w:color="auto"/>
                        <w:bottom w:val="none" w:sz="0" w:space="0" w:color="auto"/>
                        <w:right w:val="none" w:sz="0" w:space="0" w:color="auto"/>
                      </w:divBdr>
                      <w:divsChild>
                        <w:div w:id="6764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75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sciplinas.usp.br/mod/resource/view.php?id=4705568&amp;forceview=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hnet.org.br/direitos/anthist/marcos/hdh_thomas_hobbes_leviatan.pdf"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nodo50.org/insurgentes/biblioteca/A_Microfisica_do_Poder_-_Michel_Foulcault.pdf" TargetMode="External"/><Relationship Id="rId2" Type="http://schemas.openxmlformats.org/officeDocument/2006/relationships/hyperlink" Target="https://www.nodo50.org/insurgentes/biblioteca/A_Microfisica_do_Poder_-_Michel_Foulcault.pdf" TargetMode="External"/><Relationship Id="rId1" Type="http://schemas.openxmlformats.org/officeDocument/2006/relationships/hyperlink" Target="https://www.nodo50.org/insurgentes/biblioteca/A_Microfisica_do_Poder_-_Michel_Foulcault.pdf" TargetMode="External"/><Relationship Id="rId6" Type="http://schemas.openxmlformats.org/officeDocument/2006/relationships/hyperlink" Target="https://edisciplinas.usp.br/mod/resource/view.php?id=4705568&amp;forceview=1" TargetMode="External"/><Relationship Id="rId5" Type="http://schemas.openxmlformats.org/officeDocument/2006/relationships/hyperlink" Target="https://enciclopediajuridica.pucsp.br/verbete/129/edicao-1/pachukanis" TargetMode="External"/><Relationship Id="rId4" Type="http://schemas.openxmlformats.org/officeDocument/2006/relationships/hyperlink" Target="https://www.dhnet.org.br/direitos/anthist/marcos/hdh_thomas_hobbes_leviata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ah/Desktop/DIREITO%20E%20LINGUAGEM/modelo%20Direito%20e%20Linguagem.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D958632-A42E-4BB1-B291-CB8A2CF1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Direito e Linguagem.dotx</Template>
  <TotalTime>4</TotalTime>
  <Pages>27</Pages>
  <Words>7151</Words>
  <Characters>44270</Characters>
  <Application>Microsoft Office Word</Application>
  <DocSecurity>0</DocSecurity>
  <Lines>2604</Lines>
  <Paragraphs>1558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Sarah Ribeiro</cp:lastModifiedBy>
  <cp:revision>3</cp:revision>
  <cp:lastPrinted>2026-07-30T18:49:00Z</cp:lastPrinted>
  <dcterms:created xsi:type="dcterms:W3CDTF">2026-07-30T18:49:00Z</dcterms:created>
  <dcterms:modified xsi:type="dcterms:W3CDTF">2026-07-30T18:55:00Z</dcterms:modified>
</cp:coreProperties>
</file>